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5D122F0F" w:rsidR="001F5046" w:rsidRPr="007119C0" w:rsidRDefault="00076367" w:rsidP="001F5046">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Pr>
          <w:rFonts w:cs="Arial"/>
          <w:bCs/>
          <w:sz w:val="28"/>
        </w:rPr>
        <w:t>3GPP TSG RAN WG1 Meeting #10</w:t>
      </w:r>
      <w:r w:rsidR="007A3335">
        <w:rPr>
          <w:rFonts w:cs="Arial"/>
          <w:bCs/>
          <w:sz w:val="28"/>
        </w:rPr>
        <w:t>1</w:t>
      </w:r>
      <w:r w:rsidR="008E432B">
        <w:rPr>
          <w:rFonts w:cs="Arial"/>
          <w:bCs/>
          <w:sz w:val="28"/>
        </w:rPr>
        <w:t>-e</w:t>
      </w:r>
      <w:r w:rsidR="001F5046" w:rsidRPr="007119C0">
        <w:rPr>
          <w:rFonts w:cs="Arial"/>
          <w:bCs/>
          <w:sz w:val="28"/>
          <w:szCs w:val="24"/>
          <w:lang w:val="en-US" w:eastAsia="zh-TW"/>
        </w:rPr>
        <w:t xml:space="preserve">                                    </w:t>
      </w:r>
      <w:r w:rsidR="00DC2CF2">
        <w:rPr>
          <w:rFonts w:cs="Arial"/>
          <w:bCs/>
          <w:sz w:val="28"/>
          <w:szCs w:val="24"/>
          <w:lang w:val="en-US" w:eastAsia="zh-TW"/>
        </w:rPr>
        <w:t xml:space="preserve"> </w:t>
      </w:r>
      <w:r w:rsidR="00DC2CF2" w:rsidRPr="00DC2CF2">
        <w:rPr>
          <w:rFonts w:cs="Arial"/>
          <w:bCs/>
          <w:sz w:val="28"/>
          <w:szCs w:val="24"/>
          <w:lang w:val="en-US" w:eastAsia="zh-TW"/>
        </w:rPr>
        <w:t>R1-2003684</w:t>
      </w:r>
    </w:p>
    <w:p w14:paraId="644B11A2" w14:textId="1974CF80" w:rsidR="007769D5" w:rsidRPr="009513AC" w:rsidRDefault="007769D5" w:rsidP="007769D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7A3335">
        <w:rPr>
          <w:rFonts w:ascii="Arial" w:eastAsia="MS Mincho" w:hAnsi="Arial" w:cs="Arial"/>
          <w:b/>
          <w:bCs/>
          <w:sz w:val="28"/>
          <w:lang w:eastAsia="ja-JP"/>
        </w:rPr>
        <w:t xml:space="preserve">May </w:t>
      </w:r>
      <w:r w:rsidR="007D20AF">
        <w:rPr>
          <w:rFonts w:ascii="Arial" w:eastAsia="MS Mincho" w:hAnsi="Arial" w:cs="Arial"/>
          <w:b/>
          <w:bCs/>
          <w:sz w:val="28"/>
          <w:lang w:eastAsia="ja-JP"/>
        </w:rPr>
        <w:t>2</w:t>
      </w:r>
      <w:r w:rsidR="007A3335">
        <w:rPr>
          <w:rFonts w:ascii="Arial" w:eastAsia="MS Mincho" w:hAnsi="Arial" w:cs="Arial"/>
          <w:b/>
          <w:bCs/>
          <w:sz w:val="28"/>
          <w:lang w:eastAsia="ja-JP"/>
        </w:rPr>
        <w:t>5</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A3335">
        <w:rPr>
          <w:rFonts w:ascii="Arial" w:eastAsia="MS Mincho" w:hAnsi="Arial" w:cs="Arial"/>
          <w:b/>
          <w:bCs/>
          <w:sz w:val="28"/>
          <w:lang w:eastAsia="ja-JP"/>
        </w:rPr>
        <w:t xml:space="preserve"> June 5</w:t>
      </w:r>
      <w:r w:rsidR="001A2016" w:rsidRPr="00A716BD">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77777777"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076367">
        <w:rPr>
          <w:rFonts w:cs="Arial"/>
          <w:bCs/>
          <w:sz w:val="28"/>
          <w:szCs w:val="24"/>
          <w:lang w:val="en-US" w:eastAsia="zh-TW"/>
        </w:rPr>
        <w:t>7.2.5</w:t>
      </w:r>
      <w:r w:rsidR="00592BAF">
        <w:rPr>
          <w:rFonts w:cs="Arial"/>
          <w:bCs/>
          <w:sz w:val="28"/>
          <w:szCs w:val="24"/>
          <w:lang w:val="en-US" w:eastAsia="zh-TW"/>
        </w:rPr>
        <w:t>.1</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11BE33D2" w14:textId="77777777" w:rsidR="001F5046" w:rsidRPr="001F5046" w:rsidRDefault="001F5046" w:rsidP="001F5046">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592BAF" w:rsidRPr="00592BAF">
        <w:rPr>
          <w:rFonts w:eastAsia="MS Mincho" w:cs="Arial"/>
          <w:bCs/>
          <w:sz w:val="28"/>
          <w:szCs w:val="24"/>
          <w:lang w:val="en-US"/>
        </w:rPr>
        <w:t>Remaining issues on PDCCH enhancements</w:t>
      </w:r>
    </w:p>
    <w:p w14:paraId="715B1D71" w14:textId="77777777" w:rsidR="001F5046" w:rsidRPr="00466346" w:rsidRDefault="001F5046" w:rsidP="001F5046">
      <w:pPr>
        <w:pStyle w:val="Header"/>
        <w:tabs>
          <w:tab w:val="center" w:pos="4536"/>
          <w:tab w:val="right" w:pos="8280"/>
          <w:tab w:val="right" w:pos="9781"/>
        </w:tabs>
        <w:spacing w:after="120"/>
        <w:ind w:right="-58"/>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bookmarkEnd w:id="0"/>
    <w:bookmarkEnd w:id="1"/>
    <w:p w14:paraId="4F856FC9" w14:textId="77777777" w:rsidR="001F5046" w:rsidRPr="00466346" w:rsidRDefault="001F5046" w:rsidP="001F5046">
      <w:pPr>
        <w:pStyle w:val="Heading1"/>
        <w:jc w:val="both"/>
      </w:pPr>
      <w:r w:rsidRPr="00466346">
        <w:rPr>
          <w:rFonts w:hint="eastAsia"/>
          <w:lang w:eastAsia="zh-TW"/>
        </w:rPr>
        <w:t>Introduction</w:t>
      </w:r>
    </w:p>
    <w:p w14:paraId="4D1E560C" w14:textId="6E2B05D8" w:rsidR="00AC21B5" w:rsidRDefault="00AC21B5" w:rsidP="00AC21B5">
      <w:r>
        <w:t>During RAN#8</w:t>
      </w:r>
      <w:r w:rsidR="005778ED">
        <w:t>7-e</w:t>
      </w:r>
      <w:r>
        <w:t xml:space="preserve"> plenary, a new version of TS 38.213</w:t>
      </w:r>
      <w:r>
        <w:fldChar w:fldCharType="begin"/>
      </w:r>
      <w:r>
        <w:instrText xml:space="preserve"> REF _Ref16842286 \r \h </w:instrText>
      </w:r>
      <w:r>
        <w:fldChar w:fldCharType="separate"/>
      </w:r>
      <w:r>
        <w:t>[1]</w:t>
      </w:r>
      <w:r>
        <w:fldChar w:fldCharType="end"/>
      </w:r>
      <w:r>
        <w:t xml:space="preserve"> has been approved. The objective of this document is to correct the remaining issues on PDCCH enhancements for URLLC.</w:t>
      </w:r>
    </w:p>
    <w:p w14:paraId="3B2BC9BD" w14:textId="77777777" w:rsidR="007D20AF" w:rsidRPr="00466346" w:rsidRDefault="007D20AF" w:rsidP="007D20AF">
      <w:pPr>
        <w:pStyle w:val="Heading1"/>
        <w:jc w:val="both"/>
      </w:pPr>
      <w:r>
        <w:rPr>
          <w:lang w:eastAsia="zh-TW"/>
        </w:rPr>
        <w:t>Remaining issues on DCI size alignment</w:t>
      </w:r>
    </w:p>
    <w:p w14:paraId="19E7327A" w14:textId="2B2A5AA9" w:rsidR="007D20AF" w:rsidRDefault="008E432B" w:rsidP="007D20AF">
      <w:pPr>
        <w:pStyle w:val="Heading2"/>
      </w:pPr>
      <w:r>
        <w:t>D</w:t>
      </w:r>
      <w:r w:rsidR="007D20AF">
        <w:t>istinguish</w:t>
      </w:r>
      <w:r>
        <w:t>ing</w:t>
      </w:r>
      <w:r w:rsidR="007D20AF">
        <w:t xml:space="preserve"> DCI format 0_2/1_2 and DCI format 0_0/1_0</w:t>
      </w:r>
    </w:p>
    <w:p w14:paraId="63F94AF3" w14:textId="73C56650" w:rsidR="00B65E81" w:rsidRPr="00B65E81" w:rsidRDefault="009A0AD7" w:rsidP="00B65E81">
      <w:r>
        <w:t>In o</w:t>
      </w:r>
      <w:r w:rsidR="00B65E81">
        <w:t>ur view</w:t>
      </w:r>
      <w:r w:rsidR="00103BFC">
        <w:t>, a</w:t>
      </w:r>
      <w:r w:rsidR="000D321F">
        <w:t xml:space="preserve"> solution should be specified</w:t>
      </w:r>
      <w:r w:rsidR="00B65E81">
        <w:t xml:space="preserve"> for this issue to avoid any future ambiguity, e.g. some zero-padding </w:t>
      </w:r>
      <w:r w:rsidR="00B65E81" w:rsidRPr="00B65E81">
        <w:t xml:space="preserve">to DCI format 0_2/1_2 in case this </w:t>
      </w:r>
      <w:r>
        <w:t xml:space="preserve">issue </w:t>
      </w:r>
      <w:r w:rsidR="00B65E81" w:rsidRPr="00B65E81">
        <w:t xml:space="preserve">happens to avoid any ambiguity at </w:t>
      </w:r>
      <w:r w:rsidR="00103BFC" w:rsidRPr="00B65E81">
        <w:t xml:space="preserve">both </w:t>
      </w:r>
      <w:r w:rsidR="00103BFC">
        <w:t>the UE and the gNB sides</w:t>
      </w:r>
      <w:r w:rsidR="00B65E81" w:rsidRPr="00B65E81">
        <w:t>. If we want to leave it to the gNB to handle it,</w:t>
      </w:r>
      <w:r w:rsidR="000D321F">
        <w:t xml:space="preserve"> since it has the </w:t>
      </w:r>
      <w:r w:rsidR="000D321F" w:rsidRPr="00B65E81">
        <w:t xml:space="preserve">flexibility to avoid the scenario where the </w:t>
      </w:r>
      <w:r w:rsidR="000D321F">
        <w:t>DCI format 0_0/1_0 and DCI format 0_2/1_2 have the same size,</w:t>
      </w:r>
      <w:r w:rsidR="00B65E81" w:rsidRPr="00B65E81">
        <w:t xml:space="preserve"> then at least it should be</w:t>
      </w:r>
      <w:r w:rsidR="00943AAA">
        <w:t xml:space="preserve"> clarified in the specification</w:t>
      </w:r>
      <w:r w:rsidR="00B65E81" w:rsidRPr="00B65E81">
        <w:t xml:space="preserve"> that the UE is not </w:t>
      </w:r>
      <w:proofErr w:type="gramStart"/>
      <w:r w:rsidR="00B65E81" w:rsidRPr="00B65E81">
        <w:t>expected</w:t>
      </w:r>
      <w:proofErr w:type="gramEnd"/>
      <w:r w:rsidR="00B65E81" w:rsidRPr="00B65E81">
        <w:t xml:space="preserve"> to have such configuration. </w:t>
      </w:r>
    </w:p>
    <w:p w14:paraId="410140C7" w14:textId="77777777" w:rsidR="003761B4" w:rsidRPr="003761B4" w:rsidRDefault="003761B4" w:rsidP="003761B4">
      <w:pPr>
        <w:spacing w:after="120"/>
        <w:jc w:val="both"/>
        <w:rPr>
          <w:b/>
          <w:i/>
        </w:rPr>
      </w:pPr>
    </w:p>
    <w:p w14:paraId="112927FF" w14:textId="024D0D00" w:rsidR="00B65E81" w:rsidRPr="003761B4" w:rsidRDefault="00B65E81" w:rsidP="00AC3DD8">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sidRPr="003761B4">
        <w:rPr>
          <w:rFonts w:ascii="Times New Roman" w:eastAsia="PMingLiU" w:hAnsi="Times New Roman" w:cs="Times New Roman"/>
          <w:b/>
          <w:i/>
          <w:sz w:val="20"/>
          <w:szCs w:val="20"/>
          <w:lang w:val="en-GB"/>
        </w:rPr>
        <w:t xml:space="preserve"> </w:t>
      </w:r>
      <w:r w:rsidR="00103BFC" w:rsidRPr="003761B4">
        <w:rPr>
          <w:rFonts w:ascii="Times New Roman" w:eastAsia="PMingLiU" w:hAnsi="Times New Roman" w:cs="Times New Roman"/>
          <w:b/>
          <w:i/>
          <w:sz w:val="20"/>
          <w:szCs w:val="20"/>
          <w:lang w:val="en-GB"/>
        </w:rPr>
        <w:t>For distinguishing DCI format 0_2/1_2 and DCI format 0_0/1_0 select one of the following two options:</w:t>
      </w:r>
    </w:p>
    <w:p w14:paraId="72F02E49" w14:textId="77777777" w:rsidR="00B65E81" w:rsidRPr="00943AAA" w:rsidRDefault="00B65E81" w:rsidP="00D806B7">
      <w:pPr>
        <w:pStyle w:val="ListParagraph"/>
        <w:numPr>
          <w:ilvl w:val="0"/>
          <w:numId w:val="19"/>
        </w:numPr>
        <w:spacing w:after="120"/>
        <w:rPr>
          <w:rFonts w:ascii="Times New Roman" w:eastAsia="PMingLiU" w:hAnsi="Times New Roman" w:cs="Times New Roman"/>
          <w:b/>
          <w:i/>
          <w:sz w:val="20"/>
          <w:szCs w:val="20"/>
          <w:lang w:val="en-GB"/>
        </w:rPr>
      </w:pPr>
      <w:r w:rsidRPr="00943AAA">
        <w:rPr>
          <w:rFonts w:ascii="Times New Roman" w:eastAsia="PMingLiU" w:hAnsi="Times New Roman" w:cs="Times New Roman"/>
          <w:b/>
          <w:i/>
          <w:sz w:val="20"/>
          <w:szCs w:val="20"/>
          <w:lang w:val="en-GB"/>
        </w:rPr>
        <w:t>Alt-1:</w:t>
      </w:r>
      <w:r w:rsidR="00AC3DD8" w:rsidRPr="00943AAA">
        <w:rPr>
          <w:rFonts w:ascii="Times New Roman" w:eastAsia="PMingLiU" w:hAnsi="Times New Roman" w:cs="Times New Roman"/>
          <w:b/>
          <w:i/>
          <w:sz w:val="20"/>
          <w:szCs w:val="20"/>
          <w:lang w:val="en-GB"/>
        </w:rPr>
        <w:t> One zero-padding bit is added to DCI format 0_2/1_2 to differentiate DCI format 0_2/1_2 monitored in USS and DCI format 0_0/1_0 monitored in another USS.</w:t>
      </w:r>
    </w:p>
    <w:p w14:paraId="032C9FC2" w14:textId="77777777" w:rsidR="004D52BA" w:rsidRPr="00943AAA" w:rsidRDefault="00B65E81" w:rsidP="00D806B7">
      <w:pPr>
        <w:pStyle w:val="ListParagraph"/>
        <w:numPr>
          <w:ilvl w:val="0"/>
          <w:numId w:val="19"/>
        </w:numPr>
        <w:spacing w:after="120"/>
        <w:rPr>
          <w:rFonts w:ascii="Times New Roman" w:eastAsia="PMingLiU" w:hAnsi="Times New Roman" w:cs="Times New Roman"/>
          <w:b/>
          <w:i/>
          <w:sz w:val="20"/>
          <w:szCs w:val="20"/>
          <w:lang w:val="en-GB"/>
        </w:rPr>
      </w:pPr>
      <w:r w:rsidRPr="00943AAA">
        <w:rPr>
          <w:rFonts w:ascii="Times New Roman" w:eastAsia="PMingLiU" w:hAnsi="Times New Roman" w:cs="Times New Roman"/>
          <w:b/>
          <w:i/>
          <w:sz w:val="20"/>
          <w:szCs w:val="20"/>
          <w:lang w:val="en-GB"/>
        </w:rPr>
        <w:t>Alt-2</w:t>
      </w:r>
      <w:r w:rsidR="004D52BA" w:rsidRPr="00943AAA">
        <w:rPr>
          <w:rFonts w:ascii="Times New Roman" w:eastAsia="PMingLiU" w:hAnsi="Times New Roman" w:cs="Times New Roman"/>
          <w:b/>
          <w:i/>
          <w:sz w:val="20"/>
          <w:szCs w:val="20"/>
          <w:lang w:val="en-GB"/>
        </w:rPr>
        <w:t>: UE is not expected to be configured with DCI format 0_0/1_0 and DCI format 0_2/1_2 having the same size    </w:t>
      </w:r>
    </w:p>
    <w:p w14:paraId="61F9850E" w14:textId="451B0C40" w:rsidR="00B65E81" w:rsidRPr="004D52BA" w:rsidRDefault="00B65E81" w:rsidP="00B65E81">
      <w:pPr>
        <w:spacing w:after="120"/>
      </w:pPr>
      <w:r w:rsidRPr="004D52BA">
        <w:t xml:space="preserve">We </w:t>
      </w:r>
      <w:r w:rsidR="00103BFC">
        <w:t>support Alt-2</w:t>
      </w:r>
      <w:r>
        <w:t xml:space="preserve"> </w:t>
      </w:r>
      <w:r w:rsidR="00103BFC">
        <w:t xml:space="preserve">as it is friendly to the UE implementation and easier to specify </w:t>
      </w:r>
      <w:r>
        <w:t>bu</w:t>
      </w:r>
      <w:r w:rsidR="00103BFC">
        <w:t>t we are also fine with Alt-1</w:t>
      </w:r>
      <w:r w:rsidR="00E850B1">
        <w:t xml:space="preserve"> in case</w:t>
      </w:r>
      <w:r>
        <w:t xml:space="preserve"> Alt-</w:t>
      </w:r>
      <w:r w:rsidR="00103BFC">
        <w:t>2</w:t>
      </w:r>
      <w:r>
        <w:t xml:space="preserve"> has no </w:t>
      </w:r>
      <w:r w:rsidR="00943AAA">
        <w:t>general consensus</w:t>
      </w:r>
      <w:r>
        <w:t xml:space="preserve">. </w:t>
      </w:r>
    </w:p>
    <w:p w14:paraId="3C72510A" w14:textId="77777777" w:rsidR="007D20AF" w:rsidRPr="00E850B1" w:rsidRDefault="007D20AF" w:rsidP="007D20AF"/>
    <w:p w14:paraId="089BCD25" w14:textId="65849E06" w:rsidR="007D20AF" w:rsidRDefault="008E432B" w:rsidP="007D20AF">
      <w:pPr>
        <w:pStyle w:val="Heading2"/>
      </w:pPr>
      <w:r>
        <w:t>D</w:t>
      </w:r>
      <w:r w:rsidR="007D20AF">
        <w:t>istinguish</w:t>
      </w:r>
      <w:r>
        <w:t>ing</w:t>
      </w:r>
      <w:r w:rsidR="007D20AF">
        <w:t xml:space="preserve"> DCI format 0_2/1_2 monitored in USS and DCI format 0_1/1_1 in another USS</w:t>
      </w:r>
    </w:p>
    <w:p w14:paraId="1B898603" w14:textId="07C38FEE" w:rsidR="00EB0CD0" w:rsidRDefault="00EB0CD0" w:rsidP="009F6162">
      <w:r>
        <w:t>From UE perspective, this issue should be clarified and specified to avoid any future ambiguity.</w:t>
      </w:r>
      <w:r w:rsidR="00103BFC">
        <w:t xml:space="preserve"> Obviously, the</w:t>
      </w:r>
      <w:r>
        <w:t xml:space="preserve"> </w:t>
      </w:r>
      <w:r w:rsidR="00103BFC">
        <w:rPr>
          <w:color w:val="000000"/>
        </w:rPr>
        <w:t xml:space="preserve">objective can be accomplished in an efficient manner by gNB implementation but the UE behaviour in that case should be specified. </w:t>
      </w:r>
    </w:p>
    <w:p w14:paraId="743C99EA" w14:textId="16CD11FB" w:rsidR="00103BFC" w:rsidRDefault="00103BFC" w:rsidP="00103BFC">
      <w:r>
        <w:t>One possible solution is to add o</w:t>
      </w:r>
      <w:r w:rsidRPr="00EB0CD0">
        <w:t>ne zero-pad</w:t>
      </w:r>
      <w:r>
        <w:t xml:space="preserve">ding bit </w:t>
      </w:r>
      <w:r w:rsidRPr="00EB0CD0">
        <w:t>to DCI format 0_1/1_1 to differentiate DCI format 0_2/1_2 monitored in USS and DCI format 0_1/1_1 monitored in another USS.</w:t>
      </w:r>
    </w:p>
    <w:p w14:paraId="05E6E654" w14:textId="569D363C" w:rsidR="00EB0CD0" w:rsidRPr="00EB0CD0" w:rsidRDefault="009A0AD7" w:rsidP="00707FEF">
      <w:pPr>
        <w:jc w:val="both"/>
      </w:pPr>
      <w:r>
        <w:t>Although</w:t>
      </w:r>
      <w:r w:rsidR="00EB0CD0">
        <w:t xml:space="preserve"> th</w:t>
      </w:r>
      <w:r w:rsidR="00103BFC">
        <w:t xml:space="preserve">is solution could resolve the issue </w:t>
      </w:r>
      <w:r w:rsidR="006173B2">
        <w:t>but it raises some concerns as it is</w:t>
      </w:r>
      <w:r w:rsidR="00EB0CD0">
        <w:t xml:space="preserve"> not coherent with </w:t>
      </w:r>
      <w:r w:rsidR="00103BFC">
        <w:t>the two alternatives in Proposal#1</w:t>
      </w:r>
      <w:r w:rsidR="009169FA">
        <w:t>. We need to adopt a</w:t>
      </w:r>
      <w:r w:rsidR="006173B2">
        <w:t xml:space="preserve"> coherent approach if we want to adopt zero-padding</w:t>
      </w:r>
      <w:r w:rsidR="009169FA">
        <w:t xml:space="preserve"> or any other solution</w:t>
      </w:r>
      <w:r w:rsidR="006173B2">
        <w:t xml:space="preserve"> for </w:t>
      </w:r>
      <w:r w:rsidR="009169FA">
        <w:t xml:space="preserve">all </w:t>
      </w:r>
      <w:r w:rsidR="009169FA">
        <w:lastRenderedPageBreak/>
        <w:t>the DCI size</w:t>
      </w:r>
      <w:r w:rsidR="006173B2">
        <w:t xml:space="preserve"> issues. </w:t>
      </w:r>
      <w:r w:rsidR="00746B1E">
        <w:t>This will simplify the UE implementation and reduce the alternatives to be supported</w:t>
      </w:r>
      <w:r w:rsidR="00687C1E">
        <w:t xml:space="preserve"> at the gNB side</w:t>
      </w:r>
      <w:r w:rsidR="00746B1E">
        <w:t xml:space="preserve">. </w:t>
      </w:r>
    </w:p>
    <w:p w14:paraId="061ED1B4" w14:textId="70328107" w:rsidR="009F6162" w:rsidRPr="00707FEF" w:rsidRDefault="00A71E15" w:rsidP="009F6162">
      <w:r w:rsidRPr="00707FEF">
        <w:t>Therefore, w</w:t>
      </w:r>
      <w:r w:rsidR="009F6162" w:rsidRPr="00707FEF">
        <w:t>e are objecting the proposal above as it i</w:t>
      </w:r>
      <w:r w:rsidRPr="00707FEF">
        <w:t xml:space="preserve">s not coherent with the </w:t>
      </w:r>
      <w:r w:rsidR="00E56970">
        <w:t>Proposal#1</w:t>
      </w:r>
      <w:r w:rsidR="009F6162" w:rsidRPr="00707FEF">
        <w:t xml:space="preserve">. </w:t>
      </w:r>
    </w:p>
    <w:p w14:paraId="675F87CE" w14:textId="77777777" w:rsidR="009F6162" w:rsidRDefault="00707FEF" w:rsidP="009F6162">
      <w:r>
        <w:t>W</w:t>
      </w:r>
      <w:r w:rsidR="00A71E15" w:rsidRPr="00707FEF">
        <w:t xml:space="preserve">e propose </w:t>
      </w:r>
      <w:r w:rsidRPr="00707FEF">
        <w:t xml:space="preserve">instead </w:t>
      </w:r>
      <w:r w:rsidR="009F6162" w:rsidRPr="00707FEF">
        <w:t xml:space="preserve">to adopt </w:t>
      </w:r>
      <w:r w:rsidRPr="00707FEF">
        <w:t xml:space="preserve">similar approach as </w:t>
      </w:r>
      <w:r w:rsidR="00687C1E" w:rsidRPr="00707FEF">
        <w:t xml:space="preserve">in </w:t>
      </w:r>
      <w:r>
        <w:t xml:space="preserve">Alt-1 of </w:t>
      </w:r>
      <w:r w:rsidR="00687C1E">
        <w:t>Proposal#1</w:t>
      </w:r>
      <w:r w:rsidR="00AD7922" w:rsidRPr="00707FEF">
        <w:t xml:space="preserve">: </w:t>
      </w:r>
    </w:p>
    <w:p w14:paraId="32A8F58D" w14:textId="77777777" w:rsidR="003761B4" w:rsidRPr="003761B4" w:rsidRDefault="003761B4" w:rsidP="003761B4">
      <w:pPr>
        <w:spacing w:after="120"/>
        <w:jc w:val="both"/>
        <w:rPr>
          <w:b/>
          <w:i/>
        </w:rPr>
      </w:pPr>
    </w:p>
    <w:p w14:paraId="207AE98E" w14:textId="352E63B7" w:rsidR="00E56970" w:rsidRPr="003761B4" w:rsidRDefault="00E56970" w:rsidP="009F6162">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sidRPr="003761B4">
        <w:rPr>
          <w:rFonts w:ascii="Times New Roman" w:eastAsia="PMingLiU" w:hAnsi="Times New Roman" w:cs="Times New Roman"/>
          <w:b/>
          <w:i/>
          <w:sz w:val="20"/>
          <w:szCs w:val="20"/>
          <w:lang w:val="en-GB"/>
        </w:rPr>
        <w:t>For distinguishing DCI format 0_2/1_2 monitored in USS and DCI format 0_0/1_0 monitored in another USS select one of the following two options:</w:t>
      </w:r>
    </w:p>
    <w:p w14:paraId="63CE08B0" w14:textId="2F3EEADB" w:rsidR="00E56970" w:rsidRPr="00943AAA" w:rsidRDefault="00E56970" w:rsidP="00E56970">
      <w:pPr>
        <w:pStyle w:val="ListParagraph"/>
        <w:numPr>
          <w:ilvl w:val="0"/>
          <w:numId w:val="19"/>
        </w:numPr>
        <w:spacing w:after="120"/>
        <w:rPr>
          <w:rFonts w:ascii="Times New Roman" w:eastAsia="PMingLiU" w:hAnsi="Times New Roman" w:cs="Times New Roman"/>
          <w:b/>
          <w:i/>
          <w:sz w:val="20"/>
          <w:szCs w:val="20"/>
          <w:lang w:val="en-GB"/>
        </w:rPr>
      </w:pPr>
      <w:r w:rsidRPr="00943AAA">
        <w:rPr>
          <w:rFonts w:ascii="Times New Roman" w:eastAsia="PMingLiU" w:hAnsi="Times New Roman" w:cs="Times New Roman"/>
          <w:b/>
          <w:i/>
          <w:sz w:val="20"/>
          <w:szCs w:val="20"/>
          <w:lang w:val="en-GB"/>
        </w:rPr>
        <w:t>Alt-1: </w:t>
      </w:r>
      <w:r w:rsidRPr="00E56970">
        <w:rPr>
          <w:rFonts w:ascii="Times New Roman" w:eastAsia="PMingLiU" w:hAnsi="Times New Roman" w:cs="Times New Roman"/>
          <w:b/>
          <w:i/>
          <w:sz w:val="20"/>
          <w:szCs w:val="20"/>
          <w:lang w:val="en-GB"/>
        </w:rPr>
        <w:t xml:space="preserve">One zero-padding bit is added to DCI format 0_2/1_2 to differentiate the new DCI formats monitored in USS </w:t>
      </w:r>
      <w:r w:rsidRPr="00943AAA">
        <w:rPr>
          <w:rFonts w:ascii="Times New Roman" w:eastAsia="PMingLiU" w:hAnsi="Times New Roman" w:cs="Times New Roman"/>
          <w:b/>
          <w:i/>
          <w:sz w:val="20"/>
          <w:szCs w:val="20"/>
          <w:lang w:val="en-GB"/>
        </w:rPr>
        <w:t>and DCI format 0_0/1_0 monitored in another USS.</w:t>
      </w:r>
    </w:p>
    <w:p w14:paraId="72303003" w14:textId="59C7CCCF" w:rsidR="00E56970" w:rsidRPr="00943AAA" w:rsidRDefault="00E56970" w:rsidP="00E56970">
      <w:pPr>
        <w:pStyle w:val="ListParagraph"/>
        <w:numPr>
          <w:ilvl w:val="0"/>
          <w:numId w:val="19"/>
        </w:numPr>
        <w:spacing w:after="120"/>
        <w:rPr>
          <w:rFonts w:ascii="Times New Roman" w:eastAsia="PMingLiU" w:hAnsi="Times New Roman" w:cs="Times New Roman"/>
          <w:b/>
          <w:i/>
          <w:sz w:val="20"/>
          <w:szCs w:val="20"/>
          <w:lang w:val="en-GB"/>
        </w:rPr>
      </w:pPr>
      <w:r w:rsidRPr="00943AAA">
        <w:rPr>
          <w:rFonts w:ascii="Times New Roman" w:eastAsia="PMingLiU" w:hAnsi="Times New Roman" w:cs="Times New Roman"/>
          <w:b/>
          <w:i/>
          <w:sz w:val="20"/>
          <w:szCs w:val="20"/>
          <w:lang w:val="en-GB"/>
        </w:rPr>
        <w:t xml:space="preserve">Alt-2: </w:t>
      </w:r>
      <w:r w:rsidRPr="00E56970">
        <w:rPr>
          <w:rFonts w:ascii="Times New Roman" w:eastAsia="PMingLiU" w:hAnsi="Times New Roman" w:cs="Times New Roman"/>
          <w:b/>
          <w:i/>
          <w:sz w:val="20"/>
          <w:szCs w:val="20"/>
          <w:lang w:val="en-GB"/>
        </w:rPr>
        <w:t>The UE is not expected to be configured with DCI format 0_1/1_1 and DCI format 0_2/1_2 having the same size</w:t>
      </w:r>
      <w:r w:rsidR="00BB6DF9">
        <w:rPr>
          <w:rFonts w:ascii="Times New Roman" w:eastAsia="PMingLiU" w:hAnsi="Times New Roman" w:cs="Times New Roman"/>
          <w:b/>
          <w:i/>
          <w:sz w:val="20"/>
          <w:szCs w:val="20"/>
          <w:lang w:val="en-GB"/>
        </w:rPr>
        <w:t>.</w:t>
      </w:r>
    </w:p>
    <w:p w14:paraId="000891CD" w14:textId="5966DA0B" w:rsidR="00E56970" w:rsidRPr="00FC2C80" w:rsidRDefault="00FC2C80" w:rsidP="009F6162">
      <w:pPr>
        <w:rPr>
          <w:color w:val="000000"/>
        </w:rPr>
      </w:pPr>
      <w:r>
        <w:rPr>
          <w:color w:val="000000"/>
        </w:rPr>
        <w:t xml:space="preserve">We support Proposal#2 Alt-2. We agree that there is significant flexibility in configuring these two DCIs which can allow the gNB to make sure DCI format 0_1/1_1 and DCI format 0_2/1_2 are having different sizes. But some specification is required to clarify that the UE is not expected to receive </w:t>
      </w:r>
      <w:r w:rsidRPr="00FC2C80">
        <w:rPr>
          <w:color w:val="000000"/>
        </w:rPr>
        <w:t>DCI format 0_1/1_1 and DCI format 0_2/1_2 having the same size</w:t>
      </w:r>
      <w:r w:rsidR="00BB6DF9">
        <w:rPr>
          <w:color w:val="000000"/>
        </w:rPr>
        <w:t>.</w:t>
      </w:r>
    </w:p>
    <w:p w14:paraId="399E7F03" w14:textId="3A58FD5A" w:rsidR="007D20AF" w:rsidRDefault="008E432B" w:rsidP="009E10D9">
      <w:pPr>
        <w:pStyle w:val="Heading2"/>
      </w:pPr>
      <w:r>
        <w:t>D</w:t>
      </w:r>
      <w:r w:rsidR="007D20AF">
        <w:t>istinguish</w:t>
      </w:r>
      <w:r w:rsidR="00FC2C80">
        <w:t>ing</w:t>
      </w:r>
      <w:r w:rsidR="007D20AF">
        <w:t xml:space="preserve"> DCI format 0_2/1_2 and DCI format 0_1/1_1 monitored in the same USS </w:t>
      </w:r>
    </w:p>
    <w:p w14:paraId="107B7314" w14:textId="15B420BF" w:rsidR="005B50D8" w:rsidRDefault="00FC2C80" w:rsidP="00D57C34">
      <w:pPr>
        <w:rPr>
          <w:lang w:val="en-US"/>
        </w:rPr>
      </w:pPr>
      <w:r>
        <w:rPr>
          <w:lang w:val="en-US"/>
        </w:rPr>
        <w:t>Similar</w:t>
      </w:r>
      <w:r w:rsidR="005B50D8">
        <w:rPr>
          <w:lang w:val="en-US"/>
        </w:rPr>
        <w:t xml:space="preserve"> </w:t>
      </w:r>
      <w:r w:rsidR="0020069F">
        <w:rPr>
          <w:lang w:val="en-US"/>
        </w:rPr>
        <w:t xml:space="preserve">to the previous </w:t>
      </w:r>
      <w:r>
        <w:rPr>
          <w:lang w:val="en-US"/>
        </w:rPr>
        <w:t>issue</w:t>
      </w:r>
      <w:r w:rsidR="0020069F">
        <w:rPr>
          <w:lang w:val="en-US"/>
        </w:rPr>
        <w:t xml:space="preserve">, </w:t>
      </w:r>
      <w:r>
        <w:rPr>
          <w:lang w:val="en-US"/>
        </w:rPr>
        <w:t xml:space="preserve">one possible solution is to add </w:t>
      </w:r>
      <w:r w:rsidR="0020069F">
        <w:rPr>
          <w:lang w:val="en-US"/>
        </w:rPr>
        <w:t>o</w:t>
      </w:r>
      <w:r w:rsidR="0020069F" w:rsidRPr="00B90C36">
        <w:rPr>
          <w:lang w:val="en-US"/>
        </w:rPr>
        <w:t xml:space="preserve">ne zero-padding bit </w:t>
      </w:r>
      <w:r w:rsidR="005B50D8" w:rsidRPr="00B90C36">
        <w:rPr>
          <w:lang w:val="en-US"/>
        </w:rPr>
        <w:t>to DCI format 0_1/1_1 to differentiate DCI format 0_2/1_2 and DCI format 0_1/1_1 monitored in the same USS. </w:t>
      </w:r>
    </w:p>
    <w:p w14:paraId="6AFA89B3" w14:textId="7EA426CC" w:rsidR="005B50D8" w:rsidRDefault="005B50D8" w:rsidP="00D57C34">
      <w:pPr>
        <w:rPr>
          <w:lang w:eastAsia="zh-CN"/>
        </w:rPr>
      </w:pPr>
      <w:r w:rsidRPr="00B90C36">
        <w:rPr>
          <w:lang w:val="en-US"/>
        </w:rPr>
        <w:t xml:space="preserve">We </w:t>
      </w:r>
      <w:r w:rsidR="0020069F" w:rsidRPr="00B90C36">
        <w:rPr>
          <w:lang w:val="en-US"/>
        </w:rPr>
        <w:t>are opposing</w:t>
      </w:r>
      <w:r>
        <w:rPr>
          <w:lang w:eastAsia="zh-CN"/>
        </w:rPr>
        <w:t xml:space="preserve"> this </w:t>
      </w:r>
      <w:r w:rsidR="00FC2C80">
        <w:rPr>
          <w:lang w:eastAsia="zh-CN"/>
        </w:rPr>
        <w:t>solution</w:t>
      </w:r>
      <w:r>
        <w:rPr>
          <w:lang w:eastAsia="zh-CN"/>
        </w:rPr>
        <w:t xml:space="preserve"> for the same reasons </w:t>
      </w:r>
      <w:r w:rsidR="0020069F">
        <w:rPr>
          <w:lang w:eastAsia="zh-CN"/>
        </w:rPr>
        <w:t xml:space="preserve">mentioned </w:t>
      </w:r>
      <w:r w:rsidR="009A0AD7">
        <w:rPr>
          <w:lang w:eastAsia="zh-CN"/>
        </w:rPr>
        <w:t xml:space="preserve">already </w:t>
      </w:r>
      <w:r>
        <w:rPr>
          <w:lang w:eastAsia="zh-CN"/>
        </w:rPr>
        <w:t xml:space="preserve">in the previous </w:t>
      </w:r>
      <w:r w:rsidR="00FC2C80">
        <w:rPr>
          <w:lang w:eastAsia="zh-CN"/>
        </w:rPr>
        <w:t>subsection</w:t>
      </w:r>
      <w:r>
        <w:rPr>
          <w:lang w:eastAsia="zh-CN"/>
        </w:rPr>
        <w:t>.</w:t>
      </w:r>
    </w:p>
    <w:p w14:paraId="28818427" w14:textId="601F1485" w:rsidR="005B50D8" w:rsidRDefault="005B50D8" w:rsidP="00D57C34">
      <w:pPr>
        <w:rPr>
          <w:lang w:eastAsia="zh-CN"/>
        </w:rPr>
      </w:pPr>
      <w:r>
        <w:rPr>
          <w:lang w:eastAsia="zh-CN"/>
        </w:rPr>
        <w:t xml:space="preserve">We are </w:t>
      </w:r>
      <w:r w:rsidR="0020069F">
        <w:rPr>
          <w:lang w:eastAsia="zh-CN"/>
        </w:rPr>
        <w:t>therefore, as an alternative, supporting the proposal</w:t>
      </w:r>
      <w:r>
        <w:rPr>
          <w:lang w:eastAsia="zh-CN"/>
        </w:rPr>
        <w:t xml:space="preserve"> below</w:t>
      </w:r>
      <w:r w:rsidR="00924504">
        <w:rPr>
          <w:lang w:eastAsia="zh-CN"/>
        </w:rPr>
        <w:t xml:space="preserve"> for the same reasons</w:t>
      </w:r>
      <w:r w:rsidR="00FC2C80">
        <w:rPr>
          <w:lang w:eastAsia="zh-CN"/>
        </w:rPr>
        <w:t xml:space="preserve"> mentioned previously</w:t>
      </w:r>
      <w:r>
        <w:rPr>
          <w:lang w:eastAsia="zh-CN"/>
        </w:rPr>
        <w:t>:</w:t>
      </w:r>
    </w:p>
    <w:p w14:paraId="4F035715" w14:textId="77777777" w:rsidR="003761B4" w:rsidRPr="003761B4" w:rsidRDefault="003761B4" w:rsidP="003761B4">
      <w:pPr>
        <w:spacing w:after="120"/>
        <w:jc w:val="both"/>
        <w:rPr>
          <w:b/>
          <w:i/>
        </w:rPr>
      </w:pPr>
    </w:p>
    <w:p w14:paraId="64341C6F" w14:textId="79E9CC18" w:rsidR="00E90D91" w:rsidRPr="003761B4" w:rsidRDefault="00F51F41" w:rsidP="00E90D91">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sidRPr="003761B4">
        <w:rPr>
          <w:rFonts w:ascii="Times New Roman" w:eastAsia="PMingLiU" w:hAnsi="Times New Roman" w:cs="Times New Roman"/>
          <w:b/>
          <w:i/>
          <w:sz w:val="20"/>
          <w:szCs w:val="20"/>
          <w:lang w:val="en-GB"/>
        </w:rPr>
        <w:t>The UE is not expected to be configured with DCI format 0_1/1_1 and DCI format 0_2/1_2 having the same size</w:t>
      </w:r>
      <w:r w:rsidR="00BB6DF9" w:rsidRPr="003761B4">
        <w:rPr>
          <w:rFonts w:ascii="Times New Roman" w:eastAsia="PMingLiU" w:hAnsi="Times New Roman" w:cs="Times New Roman"/>
          <w:b/>
          <w:i/>
          <w:sz w:val="20"/>
          <w:szCs w:val="20"/>
          <w:lang w:val="en-GB"/>
        </w:rPr>
        <w:t>.</w:t>
      </w:r>
    </w:p>
    <w:p w14:paraId="13F9F4E7" w14:textId="77777777" w:rsidR="00E90D91" w:rsidRPr="00E90D91" w:rsidRDefault="00E90D91" w:rsidP="00E90D91">
      <w:pPr>
        <w:rPr>
          <w:b/>
          <w:i/>
        </w:rPr>
      </w:pPr>
    </w:p>
    <w:p w14:paraId="3E33BFFE" w14:textId="77777777" w:rsidR="00E90D91" w:rsidRDefault="00E90D91" w:rsidP="00E90D91">
      <w:pPr>
        <w:pStyle w:val="Heading1"/>
      </w:pPr>
      <w:r w:rsidRPr="00E90D91">
        <w:rPr>
          <w:rStyle w:val="Heading2Char"/>
        </w:rPr>
        <w:t>Distinguishing</w:t>
      </w:r>
      <w:r w:rsidRPr="00E90D91">
        <w:t xml:space="preserve"> DCI format 0_2/1_2 and DCI format 0_0/1_0</w:t>
      </w:r>
    </w:p>
    <w:p w14:paraId="6B23231B" w14:textId="1FF0F473" w:rsidR="00E90D91" w:rsidRPr="00E90D91" w:rsidRDefault="00E90D91" w:rsidP="00E90D91">
      <w:pPr>
        <w:pStyle w:val="ListParagraph"/>
        <w:spacing w:beforeLines="50" w:before="120"/>
        <w:ind w:left="0"/>
        <w:rPr>
          <w:rFonts w:ascii="Times New Roman" w:eastAsia="PMingLiU" w:hAnsi="Times New Roman" w:cs="Times New Roman"/>
          <w:sz w:val="20"/>
          <w:szCs w:val="20"/>
          <w:lang w:val="en-GB" w:eastAsia="zh-CN"/>
        </w:rPr>
      </w:pPr>
      <w:r w:rsidRPr="00E90D91">
        <w:rPr>
          <w:rFonts w:ascii="Times New Roman" w:eastAsia="PMingLiU" w:hAnsi="Times New Roman" w:cs="Times New Roman" w:hint="eastAsia"/>
          <w:sz w:val="20"/>
          <w:szCs w:val="20"/>
          <w:lang w:val="en-GB" w:eastAsia="zh-CN"/>
        </w:rPr>
        <w:t>T</w:t>
      </w:r>
      <w:r>
        <w:rPr>
          <w:rFonts w:ascii="Times New Roman" w:eastAsia="PMingLiU" w:hAnsi="Times New Roman" w:cs="Times New Roman"/>
          <w:sz w:val="20"/>
          <w:szCs w:val="20"/>
          <w:lang w:val="en-GB" w:eastAsia="zh-CN"/>
        </w:rPr>
        <w:t>he following agreement has been made</w:t>
      </w:r>
      <w:r w:rsidRPr="00E90D91">
        <w:rPr>
          <w:rFonts w:ascii="Times New Roman" w:eastAsia="PMingLiU" w:hAnsi="Times New Roman" w:cs="Times New Roman"/>
          <w:sz w:val="20"/>
          <w:szCs w:val="20"/>
          <w:lang w:val="en-GB" w:eastAsia="zh-CN"/>
        </w:rPr>
        <w:t xml:space="preserve"> in RAN1#99:</w:t>
      </w:r>
    </w:p>
    <w:p w14:paraId="3E06C0C4" w14:textId="77777777" w:rsidR="00E90D91" w:rsidRPr="00944452" w:rsidRDefault="00E90D91" w:rsidP="00E90D91">
      <w:pPr>
        <w:pStyle w:val="ListParagraph"/>
        <w:ind w:left="360"/>
        <w:rPr>
          <w:b/>
          <w:bCs/>
          <w:highlight w:val="green"/>
          <w:u w:val="single"/>
          <w:lang w:eastAsia="x-none"/>
        </w:rPr>
      </w:pPr>
      <w:r w:rsidRPr="00944452">
        <w:rPr>
          <w:b/>
          <w:bCs/>
          <w:highlight w:val="green"/>
          <w:u w:val="single"/>
          <w:lang w:eastAsia="x-none"/>
        </w:rPr>
        <w:t>Agreement:</w:t>
      </w:r>
    </w:p>
    <w:p w14:paraId="241DEB42" w14:textId="77777777" w:rsidR="00E90D91" w:rsidRDefault="00E90D91" w:rsidP="00E90D91">
      <w:pPr>
        <w:pStyle w:val="ListParagraph"/>
        <w:spacing w:beforeLines="50" w:before="120"/>
        <w:ind w:left="360"/>
        <w:rPr>
          <w:i/>
          <w:lang w:eastAsia="zh-CN"/>
        </w:rPr>
      </w:pPr>
      <w:r w:rsidRPr="0094445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2AD70477" w14:textId="77777777" w:rsidR="00E90D91" w:rsidRPr="002D3372" w:rsidRDefault="00E90D91" w:rsidP="00E90D91">
      <w:pPr>
        <w:numPr>
          <w:ilvl w:val="0"/>
          <w:numId w:val="25"/>
        </w:numPr>
        <w:spacing w:after="0"/>
        <w:jc w:val="both"/>
        <w:rPr>
          <w:i/>
          <w:lang w:eastAsia="zh-CN"/>
        </w:rPr>
      </w:pPr>
      <w:r w:rsidRPr="002D3372">
        <w:rPr>
          <w:i/>
          <w:shd w:val="clear" w:color="auto" w:fill="FFFFFF"/>
          <w:lang w:eastAsia="zh-CN"/>
        </w:rPr>
        <w:t>This feature is UE optional</w:t>
      </w:r>
      <w:r w:rsidRPr="002D3372">
        <w:rPr>
          <w:i/>
          <w:lang w:eastAsia="zh-CN"/>
        </w:rPr>
        <w:t xml:space="preserve"> </w:t>
      </w:r>
    </w:p>
    <w:p w14:paraId="594CBF34" w14:textId="77777777" w:rsidR="00B36747" w:rsidRDefault="00B36747" w:rsidP="00B36747">
      <w:pPr>
        <w:rPr>
          <w:lang w:eastAsia="zh-CN"/>
        </w:rPr>
      </w:pPr>
    </w:p>
    <w:p w14:paraId="169111F1" w14:textId="77777777" w:rsidR="002C0262" w:rsidRPr="00B36747" w:rsidRDefault="00E05EC6" w:rsidP="00B36747">
      <w:pPr>
        <w:rPr>
          <w:lang w:eastAsia="zh-CN"/>
        </w:rPr>
      </w:pPr>
      <w:r w:rsidRPr="00B36747">
        <w:rPr>
          <w:lang w:eastAsia="zh-CN"/>
        </w:rPr>
        <w:t xml:space="preserve">The UE reports the support of the optional feature if it can support dynamic switching of priorities of HARQ-ACK/PUSCH via both of the pairs 0_1/1_1 or 0_2/1_2. </w:t>
      </w:r>
    </w:p>
    <w:p w14:paraId="566A0B10" w14:textId="19B3FFA1" w:rsidR="002C0262" w:rsidRPr="00B36747" w:rsidRDefault="00B36747" w:rsidP="00B36747">
      <w:pPr>
        <w:rPr>
          <w:lang w:eastAsia="zh-CN"/>
        </w:rPr>
      </w:pPr>
      <w:r>
        <w:rPr>
          <w:lang w:eastAsia="zh-CN"/>
        </w:rPr>
        <w:lastRenderedPageBreak/>
        <w:t xml:space="preserve">However if the UE </w:t>
      </w:r>
      <w:r w:rsidR="00E05EC6" w:rsidRPr="00B36747">
        <w:rPr>
          <w:lang w:eastAsia="zh-CN"/>
        </w:rPr>
        <w:t xml:space="preserve">doesn’t support the feature 11-4a and is not capable of supporting dynamic switching of HARQ-ACK/PUSCH priority via both of the pairs 0_1/1_1 or 0_2/1_2, then the UE </w:t>
      </w:r>
      <w:r w:rsidR="00B54455" w:rsidRPr="00B36747">
        <w:rPr>
          <w:lang w:eastAsia="zh-CN"/>
        </w:rPr>
        <w:t>behaviour</w:t>
      </w:r>
      <w:r w:rsidR="00E05EC6" w:rsidRPr="00B36747">
        <w:rPr>
          <w:lang w:eastAsia="zh-CN"/>
        </w:rPr>
        <w:t xml:space="preserve"> in this case is not yet specified and specification in RAN1 is needed to identify how the UE will determine the HARQ-ACK/PUSCH priorities. </w:t>
      </w:r>
    </w:p>
    <w:p w14:paraId="3D374DB6" w14:textId="22880762" w:rsidR="002C0262" w:rsidRDefault="00E05EC6" w:rsidP="00B36747">
      <w:pPr>
        <w:rPr>
          <w:lang w:eastAsia="zh-CN"/>
        </w:rPr>
      </w:pPr>
      <w:r w:rsidRPr="00B36747">
        <w:rPr>
          <w:lang w:eastAsia="zh-CN"/>
        </w:rPr>
        <w:t xml:space="preserve">It is required to clarify what priority is indicated by DCI format 0_2/1_2 and 0_1/1_1 and how it is </w:t>
      </w:r>
      <w:r w:rsidR="00B54455" w:rsidRPr="00B36747">
        <w:rPr>
          <w:lang w:eastAsia="zh-CN"/>
        </w:rPr>
        <w:t>signalled</w:t>
      </w:r>
      <w:r w:rsidRPr="00B36747">
        <w:rPr>
          <w:lang w:eastAsia="zh-CN"/>
        </w:rPr>
        <w:t xml:space="preserve"> to the UE for a UE that doesn’t support FG11-4a. </w:t>
      </w:r>
    </w:p>
    <w:p w14:paraId="78C6F011" w14:textId="77777777" w:rsidR="00615895" w:rsidRPr="003761B4" w:rsidRDefault="00615895" w:rsidP="00615895">
      <w:pPr>
        <w:spacing w:after="120"/>
        <w:jc w:val="both"/>
        <w:rPr>
          <w:b/>
          <w:i/>
        </w:rPr>
      </w:pPr>
    </w:p>
    <w:p w14:paraId="1E3D7441" w14:textId="43396CDB" w:rsidR="002C0262" w:rsidRPr="00615895" w:rsidRDefault="00E05EC6" w:rsidP="00C31F92">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sidRPr="00615895">
        <w:rPr>
          <w:rFonts w:ascii="Times New Roman" w:eastAsia="PMingLiU" w:hAnsi="Times New Roman" w:cs="Times New Roman"/>
          <w:b/>
          <w:i/>
          <w:sz w:val="20"/>
          <w:szCs w:val="20"/>
          <w:lang w:val="en-GB"/>
        </w:rPr>
        <w:t>For a UE that doesn’t support FG11-4a, the UE doesn’t expected Priority indicator to be configured in both DCI formats (DCI formats 0_1/1_1 and DCI formats 0_2/1_2)</w:t>
      </w:r>
    </w:p>
    <w:p w14:paraId="36A1A08E" w14:textId="77777777" w:rsidR="002C0262" w:rsidRPr="00B36747" w:rsidRDefault="00E05EC6" w:rsidP="00C31F92">
      <w:pPr>
        <w:numPr>
          <w:ilvl w:val="1"/>
          <w:numId w:val="25"/>
        </w:numPr>
        <w:rPr>
          <w:b/>
          <w:i/>
        </w:rPr>
      </w:pPr>
      <w:r w:rsidRPr="00B36747">
        <w:rPr>
          <w:b/>
          <w:i/>
        </w:rPr>
        <w:t>The UE can be configured with priority indicator in either DCI formats 0_1/1_1 or DCI formats 0_2/1_2</w:t>
      </w:r>
    </w:p>
    <w:p w14:paraId="5B36A7EF" w14:textId="612700E2" w:rsidR="00E90D91" w:rsidRPr="00615895" w:rsidRDefault="00B36747" w:rsidP="00E90D91">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sidRPr="00615895">
        <w:rPr>
          <w:rFonts w:ascii="Times New Roman" w:eastAsia="PMingLiU" w:hAnsi="Times New Roman" w:cs="Times New Roman"/>
          <w:b/>
          <w:i/>
          <w:sz w:val="20"/>
          <w:szCs w:val="20"/>
          <w:lang w:val="en-GB"/>
        </w:rPr>
        <w:t>For a UE that doesn’t support FG11-4a, the UE doesn’t expect DCI formats 0_1/1_1 to schedule PDSCH with high priority HARQ-ACK or high priority PUSCH.</w:t>
      </w:r>
    </w:p>
    <w:p w14:paraId="4B5E66A5" w14:textId="77777777" w:rsidR="00827333" w:rsidRPr="00E90D91" w:rsidRDefault="00827333" w:rsidP="00827333">
      <w:pPr>
        <w:rPr>
          <w:b/>
          <w:i/>
        </w:rPr>
      </w:pPr>
    </w:p>
    <w:p w14:paraId="7F94AF30" w14:textId="65983E14" w:rsidR="00827333" w:rsidRDefault="00827333" w:rsidP="00827333">
      <w:pPr>
        <w:pStyle w:val="Heading1"/>
      </w:pPr>
      <w:r w:rsidRPr="00827333">
        <w:t>Determination of DCI field sizes for the case of two HARQ-ACK codebooks</w:t>
      </w:r>
    </w:p>
    <w:p w14:paraId="76ABF062" w14:textId="21401720" w:rsidR="00827333" w:rsidRDefault="00827333" w:rsidP="00827333">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the RAN1#99 meeting, the following </w:t>
      </w:r>
      <w:r w:rsidR="00F2595B">
        <w:rPr>
          <w:rFonts w:eastAsiaTheme="minorEastAsia"/>
          <w:lang w:eastAsia="zh-CN"/>
        </w:rPr>
        <w:t>working assumption</w:t>
      </w:r>
      <w:r>
        <w:rPr>
          <w:rFonts w:eastAsiaTheme="minorEastAsia"/>
          <w:lang w:eastAsia="zh-CN"/>
        </w:rPr>
        <w:t xml:space="preserve"> has been made:</w:t>
      </w:r>
    </w:p>
    <w:p w14:paraId="3D31C847" w14:textId="77777777" w:rsidR="00827333" w:rsidRPr="00EC2F39" w:rsidRDefault="00827333" w:rsidP="00827333">
      <w:pPr>
        <w:spacing w:after="0"/>
        <w:rPr>
          <w:highlight w:val="darkYellow"/>
          <w:lang w:eastAsia="x-none"/>
        </w:rPr>
      </w:pPr>
      <w:r w:rsidRPr="00EC2F39">
        <w:rPr>
          <w:highlight w:val="darkYellow"/>
          <w:lang w:eastAsia="x-none"/>
        </w:rPr>
        <w:t>Working assumption:</w:t>
      </w:r>
    </w:p>
    <w:p w14:paraId="39DD1C31" w14:textId="77777777" w:rsidR="00827333" w:rsidRPr="00EC2F39" w:rsidRDefault="00827333" w:rsidP="00827333">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904D95">
        <w:rPr>
          <w:iCs/>
          <w:color w:val="000000"/>
          <w:kern w:val="2"/>
          <w:lang w:eastAsia="zh-CN"/>
        </w:rPr>
        <w:t xml:space="preserve"> </w:t>
      </w:r>
      <w:r w:rsidRPr="00EC2F39">
        <w:rPr>
          <w:iCs/>
          <w:color w:val="000000"/>
          <w:kern w:val="2"/>
          <w:lang w:eastAsia="zh-CN"/>
        </w:rPr>
        <w:t xml:space="preserve">zero bits can be added to a field to achieve the alignment. </w:t>
      </w:r>
    </w:p>
    <w:p w14:paraId="728F59D1" w14:textId="77777777" w:rsidR="00827333" w:rsidRPr="00904D95" w:rsidRDefault="00827333" w:rsidP="00827333">
      <w:pPr>
        <w:pStyle w:val="ListParagraph"/>
        <w:numPr>
          <w:ilvl w:val="0"/>
          <w:numId w:val="28"/>
        </w:numPr>
        <w:autoSpaceDE w:val="0"/>
        <w:autoSpaceDN w:val="0"/>
        <w:adjustRightInd w:val="0"/>
        <w:snapToGrid w:val="0"/>
        <w:spacing w:after="60" w:line="240" w:lineRule="auto"/>
        <w:ind w:left="644"/>
        <w:contextualSpacing w:val="0"/>
        <w:jc w:val="both"/>
        <w:rPr>
          <w:rFonts w:ascii="Times New Roman" w:eastAsia="PMingLiU" w:hAnsi="Times New Roman" w:cs="Times New Roman"/>
          <w:iCs/>
          <w:color w:val="000000"/>
          <w:kern w:val="2"/>
          <w:sz w:val="20"/>
          <w:szCs w:val="20"/>
          <w:lang w:val="en-GB" w:eastAsia="zh-CN"/>
        </w:rPr>
      </w:pPr>
      <w:r w:rsidRPr="00904D95">
        <w:rPr>
          <w:rFonts w:ascii="Times New Roman" w:eastAsia="PMingLiU" w:hAnsi="Times New Roman" w:cs="Times New Roman" w:hint="eastAsia"/>
          <w:iCs/>
          <w:color w:val="000000"/>
          <w:kern w:val="2"/>
          <w:sz w:val="20"/>
          <w:szCs w:val="20"/>
          <w:lang w:val="en-GB" w:eastAsia="zh-CN"/>
        </w:rPr>
        <w:t>P</w:t>
      </w:r>
      <w:r w:rsidRPr="00904D95">
        <w:rPr>
          <w:rFonts w:ascii="Times New Roman" w:eastAsia="PMingLiU" w:hAnsi="Times New Roman" w:cs="Times New Roman"/>
          <w:iCs/>
          <w:color w:val="000000"/>
          <w:kern w:val="2"/>
          <w:sz w:val="20"/>
          <w:szCs w:val="20"/>
          <w:lang w:val="en-GB" w:eastAsia="zh-CN"/>
        </w:rPr>
        <w:t>DSCH-to-</w:t>
      </w:r>
      <w:proofErr w:type="spellStart"/>
      <w:r w:rsidRPr="00904D95">
        <w:rPr>
          <w:rFonts w:ascii="Times New Roman" w:eastAsia="PMingLiU" w:hAnsi="Times New Roman" w:cs="Times New Roman"/>
          <w:iCs/>
          <w:color w:val="000000"/>
          <w:kern w:val="2"/>
          <w:sz w:val="20"/>
          <w:szCs w:val="20"/>
          <w:lang w:val="en-GB" w:eastAsia="zh-CN"/>
        </w:rPr>
        <w:t>HARQ_feedback</w:t>
      </w:r>
      <w:proofErr w:type="spellEnd"/>
      <w:r w:rsidRPr="00904D95">
        <w:rPr>
          <w:rFonts w:ascii="Times New Roman" w:eastAsia="PMingLiU" w:hAnsi="Times New Roman" w:cs="Times New Roman"/>
          <w:iCs/>
          <w:color w:val="000000"/>
          <w:kern w:val="2"/>
          <w:sz w:val="20"/>
          <w:szCs w:val="20"/>
          <w:lang w:val="en-GB" w:eastAsia="zh-CN"/>
        </w:rPr>
        <w:t xml:space="preserve"> timing indicator </w:t>
      </w:r>
    </w:p>
    <w:p w14:paraId="007594DA" w14:textId="77777777" w:rsidR="00827333" w:rsidRPr="00904D95" w:rsidRDefault="00827333" w:rsidP="00827333">
      <w:pPr>
        <w:pStyle w:val="ListParagraph"/>
        <w:numPr>
          <w:ilvl w:val="0"/>
          <w:numId w:val="28"/>
        </w:numPr>
        <w:autoSpaceDE w:val="0"/>
        <w:autoSpaceDN w:val="0"/>
        <w:adjustRightInd w:val="0"/>
        <w:snapToGrid w:val="0"/>
        <w:spacing w:after="60" w:line="240" w:lineRule="auto"/>
        <w:ind w:left="644"/>
        <w:contextualSpacing w:val="0"/>
        <w:jc w:val="both"/>
        <w:rPr>
          <w:rFonts w:ascii="Times New Roman" w:eastAsia="PMingLiU" w:hAnsi="Times New Roman" w:cs="Times New Roman"/>
          <w:iCs/>
          <w:color w:val="000000"/>
          <w:kern w:val="2"/>
          <w:sz w:val="20"/>
          <w:szCs w:val="20"/>
          <w:lang w:val="en-GB" w:eastAsia="zh-CN"/>
        </w:rPr>
      </w:pPr>
      <w:r w:rsidRPr="00904D95">
        <w:rPr>
          <w:rFonts w:ascii="Times New Roman" w:eastAsia="PMingLiU" w:hAnsi="Times New Roman" w:cs="Times New Roman" w:hint="eastAsia"/>
          <w:iCs/>
          <w:color w:val="000000"/>
          <w:kern w:val="2"/>
          <w:sz w:val="20"/>
          <w:szCs w:val="20"/>
          <w:lang w:val="en-GB" w:eastAsia="zh-CN"/>
        </w:rPr>
        <w:t>B</w:t>
      </w:r>
      <w:r w:rsidRPr="00904D95">
        <w:rPr>
          <w:rFonts w:ascii="Times New Roman" w:eastAsia="PMingLiU" w:hAnsi="Times New Roman" w:cs="Times New Roman"/>
          <w:iCs/>
          <w:color w:val="000000"/>
          <w:kern w:val="2"/>
          <w:sz w:val="20"/>
          <w:szCs w:val="20"/>
          <w:lang w:val="en-GB" w:eastAsia="zh-CN"/>
        </w:rPr>
        <w:t xml:space="preserve">eta offset indicator </w:t>
      </w:r>
    </w:p>
    <w:p w14:paraId="39DC0E4B" w14:textId="77777777" w:rsidR="00827333" w:rsidRPr="00904D95" w:rsidRDefault="00827333" w:rsidP="00827333">
      <w:pPr>
        <w:pStyle w:val="ListParagraph"/>
        <w:numPr>
          <w:ilvl w:val="0"/>
          <w:numId w:val="28"/>
        </w:numPr>
        <w:autoSpaceDE w:val="0"/>
        <w:autoSpaceDN w:val="0"/>
        <w:adjustRightInd w:val="0"/>
        <w:snapToGrid w:val="0"/>
        <w:spacing w:after="60" w:line="240" w:lineRule="auto"/>
        <w:ind w:left="644"/>
        <w:contextualSpacing w:val="0"/>
        <w:jc w:val="both"/>
        <w:rPr>
          <w:rFonts w:ascii="Times New Roman" w:eastAsia="PMingLiU" w:hAnsi="Times New Roman" w:cs="Times New Roman"/>
          <w:iCs/>
          <w:color w:val="000000"/>
          <w:kern w:val="2"/>
          <w:sz w:val="20"/>
          <w:szCs w:val="20"/>
          <w:lang w:val="en-GB" w:eastAsia="zh-CN"/>
        </w:rPr>
      </w:pPr>
      <w:r w:rsidRPr="00904D95">
        <w:rPr>
          <w:rFonts w:ascii="Times New Roman" w:eastAsia="PMingLiU" w:hAnsi="Times New Roman" w:cs="Times New Roman"/>
          <w:iCs/>
          <w:color w:val="000000"/>
          <w:kern w:val="2"/>
          <w:sz w:val="20"/>
          <w:szCs w:val="20"/>
          <w:lang w:val="en-GB" w:eastAsia="zh-CN"/>
        </w:rPr>
        <w:t>DAI</w:t>
      </w:r>
    </w:p>
    <w:p w14:paraId="4A1D1555" w14:textId="77777777" w:rsidR="00827333" w:rsidRPr="00904D95" w:rsidRDefault="00827333" w:rsidP="00827333">
      <w:pPr>
        <w:pStyle w:val="ListParagraph"/>
        <w:numPr>
          <w:ilvl w:val="0"/>
          <w:numId w:val="28"/>
        </w:numPr>
        <w:autoSpaceDE w:val="0"/>
        <w:autoSpaceDN w:val="0"/>
        <w:adjustRightInd w:val="0"/>
        <w:snapToGrid w:val="0"/>
        <w:spacing w:after="0" w:line="240" w:lineRule="auto"/>
        <w:ind w:left="644"/>
        <w:contextualSpacing w:val="0"/>
        <w:jc w:val="both"/>
        <w:rPr>
          <w:rFonts w:ascii="Times New Roman" w:eastAsia="PMingLiU" w:hAnsi="Times New Roman" w:cs="Times New Roman"/>
          <w:iCs/>
          <w:color w:val="000000"/>
          <w:kern w:val="2"/>
          <w:sz w:val="20"/>
          <w:szCs w:val="20"/>
          <w:lang w:val="en-GB" w:eastAsia="zh-CN"/>
        </w:rPr>
      </w:pPr>
      <w:r w:rsidRPr="00904D95">
        <w:rPr>
          <w:rFonts w:ascii="Times New Roman" w:eastAsia="PMingLiU" w:hAnsi="Times New Roman" w:cs="Times New Roman"/>
          <w:iCs/>
          <w:color w:val="000000"/>
          <w:kern w:val="2"/>
          <w:sz w:val="20"/>
          <w:szCs w:val="20"/>
          <w:lang w:val="en-GB" w:eastAsia="zh-CN"/>
        </w:rPr>
        <w:t>CBGTI &amp; CBGFI (if configured for low priority HARQ-ACK codebook for DCI format 1_1 and DCI format 0_1)</w:t>
      </w:r>
    </w:p>
    <w:p w14:paraId="39CDB7E5" w14:textId="170051A0" w:rsidR="00F2595B" w:rsidRPr="003761B4" w:rsidRDefault="00ED6E27" w:rsidP="00805F91">
      <w:pPr>
        <w:rPr>
          <w:b/>
          <w:i/>
        </w:rPr>
      </w:pPr>
      <w:r>
        <w:t>We propose to confirm the working assumption with the following update</w:t>
      </w:r>
      <w:r w:rsidR="00805F91">
        <w:t>:</w:t>
      </w:r>
    </w:p>
    <w:p w14:paraId="2414A3B6" w14:textId="4F5C228B" w:rsidR="00F2595B" w:rsidRPr="003761B4" w:rsidRDefault="00F2595B" w:rsidP="00F2595B">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p>
    <w:p w14:paraId="1C65EDC3" w14:textId="170EB4DD" w:rsidR="00ED6E27" w:rsidRPr="00C4493E" w:rsidRDefault="00ED6E27" w:rsidP="00ED6E27">
      <w:pPr>
        <w:spacing w:after="60"/>
        <w:rPr>
          <w:color w:val="000000"/>
          <w:kern w:val="2"/>
          <w:lang w:eastAsia="zh-CN"/>
        </w:rPr>
      </w:pPr>
      <w:r w:rsidRPr="00611074">
        <w:rPr>
          <w:color w:val="0070C0"/>
          <w:kern w:val="2"/>
          <w:lang w:eastAsia="zh-CN"/>
        </w:rPr>
        <w:t xml:space="preserve">If the UE is configured with dynamic priority indication for DCI formats 0_1, 0_2, 1_1 or 1_2 (using </w:t>
      </w:r>
      <w:r w:rsidRPr="00611074">
        <w:rPr>
          <w:i/>
          <w:iCs/>
          <w:color w:val="0070C0"/>
        </w:rPr>
        <w:t>PriorityIndicator-ForDCIFormat0_1/1_1/0_2/1_2</w:t>
      </w:r>
      <w:r w:rsidRPr="00611074">
        <w:rPr>
          <w:color w:val="0070C0"/>
        </w:rPr>
        <w:t>)</w:t>
      </w:r>
      <w:r w:rsidRPr="00611074">
        <w:rPr>
          <w:strike/>
          <w:color w:val="0070C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611074">
        <w:rPr>
          <w:color w:val="0070C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D5F14C1" w14:textId="77777777" w:rsidR="00ED6E27" w:rsidRPr="00341609" w:rsidRDefault="00ED6E27" w:rsidP="00ED6E27">
      <w:pPr>
        <w:pStyle w:val="ListParagraph"/>
        <w:numPr>
          <w:ilvl w:val="0"/>
          <w:numId w:val="28"/>
        </w:numPr>
        <w:autoSpaceDE w:val="0"/>
        <w:autoSpaceDN w:val="0"/>
        <w:adjustRightInd w:val="0"/>
        <w:snapToGrid w:val="0"/>
        <w:spacing w:after="120" w:line="240" w:lineRule="auto"/>
        <w:ind w:left="1288"/>
        <w:jc w:val="both"/>
        <w:rPr>
          <w:rFonts w:ascii="Times New Roman" w:eastAsia="PMingLiU" w:hAnsi="Times New Roman" w:cs="Times New Roman"/>
          <w:color w:val="000000"/>
          <w:kern w:val="2"/>
          <w:sz w:val="20"/>
          <w:szCs w:val="20"/>
          <w:lang w:val="en-GB" w:eastAsia="zh-CN"/>
        </w:rPr>
      </w:pPr>
      <w:r w:rsidRPr="00341609">
        <w:rPr>
          <w:rFonts w:ascii="Times New Roman" w:eastAsia="PMingLiU" w:hAnsi="Times New Roman" w:cs="Times New Roman"/>
          <w:color w:val="000000"/>
          <w:kern w:val="2"/>
          <w:sz w:val="20"/>
          <w:szCs w:val="20"/>
          <w:lang w:val="en-GB" w:eastAsia="zh-CN"/>
        </w:rPr>
        <w:t>PDSCH-to-</w:t>
      </w:r>
      <w:proofErr w:type="spellStart"/>
      <w:r w:rsidRPr="00341609">
        <w:rPr>
          <w:rFonts w:ascii="Times New Roman" w:eastAsia="PMingLiU" w:hAnsi="Times New Roman" w:cs="Times New Roman"/>
          <w:color w:val="000000"/>
          <w:kern w:val="2"/>
          <w:sz w:val="20"/>
          <w:szCs w:val="20"/>
          <w:lang w:val="en-GB" w:eastAsia="zh-CN"/>
        </w:rPr>
        <w:t>HARQ_feedback</w:t>
      </w:r>
      <w:proofErr w:type="spellEnd"/>
      <w:r w:rsidRPr="00341609">
        <w:rPr>
          <w:rFonts w:ascii="Times New Roman" w:eastAsia="PMingLiU" w:hAnsi="Times New Roman" w:cs="Times New Roman"/>
          <w:color w:val="000000"/>
          <w:kern w:val="2"/>
          <w:sz w:val="20"/>
          <w:szCs w:val="20"/>
          <w:lang w:val="en-GB" w:eastAsia="zh-CN"/>
        </w:rPr>
        <w:t xml:space="preserve"> timing indicator </w:t>
      </w:r>
    </w:p>
    <w:p w14:paraId="13ABEB76" w14:textId="77777777" w:rsidR="00ED6E27" w:rsidRPr="00341609" w:rsidRDefault="00ED6E27" w:rsidP="00ED6E27">
      <w:pPr>
        <w:pStyle w:val="ListParagraph"/>
        <w:numPr>
          <w:ilvl w:val="0"/>
          <w:numId w:val="28"/>
        </w:numPr>
        <w:autoSpaceDE w:val="0"/>
        <w:autoSpaceDN w:val="0"/>
        <w:adjustRightInd w:val="0"/>
        <w:snapToGrid w:val="0"/>
        <w:spacing w:after="120" w:line="240" w:lineRule="auto"/>
        <w:ind w:left="1288"/>
        <w:jc w:val="both"/>
        <w:rPr>
          <w:rFonts w:ascii="Times New Roman" w:eastAsia="PMingLiU" w:hAnsi="Times New Roman" w:cs="Times New Roman"/>
          <w:color w:val="000000"/>
          <w:kern w:val="2"/>
          <w:sz w:val="20"/>
          <w:szCs w:val="20"/>
          <w:lang w:val="en-GB" w:eastAsia="zh-CN"/>
        </w:rPr>
      </w:pPr>
      <w:r w:rsidRPr="00341609">
        <w:rPr>
          <w:rFonts w:ascii="Times New Roman" w:eastAsia="PMingLiU" w:hAnsi="Times New Roman" w:cs="Times New Roman"/>
          <w:color w:val="000000"/>
          <w:kern w:val="2"/>
          <w:sz w:val="20"/>
          <w:szCs w:val="20"/>
          <w:lang w:val="en-GB" w:eastAsia="zh-CN"/>
        </w:rPr>
        <w:t xml:space="preserve">Beta offset indicator </w:t>
      </w:r>
    </w:p>
    <w:p w14:paraId="4574BBF3" w14:textId="77777777" w:rsidR="00ED6E27" w:rsidRPr="00341609" w:rsidRDefault="00ED6E27" w:rsidP="00ED6E27">
      <w:pPr>
        <w:pStyle w:val="ListParagraph"/>
        <w:numPr>
          <w:ilvl w:val="0"/>
          <w:numId w:val="28"/>
        </w:numPr>
        <w:autoSpaceDE w:val="0"/>
        <w:autoSpaceDN w:val="0"/>
        <w:adjustRightInd w:val="0"/>
        <w:snapToGrid w:val="0"/>
        <w:spacing w:after="120" w:line="240" w:lineRule="auto"/>
        <w:ind w:left="1288"/>
        <w:jc w:val="both"/>
        <w:rPr>
          <w:rFonts w:ascii="Times New Roman" w:eastAsia="PMingLiU" w:hAnsi="Times New Roman" w:cs="Times New Roman"/>
          <w:color w:val="000000"/>
          <w:kern w:val="2"/>
          <w:sz w:val="20"/>
          <w:szCs w:val="20"/>
          <w:lang w:val="en-GB" w:eastAsia="zh-CN"/>
        </w:rPr>
      </w:pPr>
      <w:r w:rsidRPr="00341609">
        <w:rPr>
          <w:rFonts w:ascii="Times New Roman" w:eastAsia="PMingLiU" w:hAnsi="Times New Roman" w:cs="Times New Roman"/>
          <w:color w:val="000000"/>
          <w:kern w:val="2"/>
          <w:sz w:val="20"/>
          <w:szCs w:val="20"/>
          <w:lang w:val="en-GB" w:eastAsia="zh-CN"/>
        </w:rPr>
        <w:t>DAI</w:t>
      </w:r>
    </w:p>
    <w:p w14:paraId="2A5B27F4" w14:textId="77777777" w:rsidR="00ED6E27" w:rsidRPr="00341609" w:rsidRDefault="00ED6E27" w:rsidP="00ED6E27">
      <w:pPr>
        <w:pStyle w:val="ListParagraph"/>
        <w:numPr>
          <w:ilvl w:val="0"/>
          <w:numId w:val="28"/>
        </w:numPr>
        <w:autoSpaceDE w:val="0"/>
        <w:autoSpaceDN w:val="0"/>
        <w:adjustRightInd w:val="0"/>
        <w:snapToGrid w:val="0"/>
        <w:spacing w:after="120" w:line="240" w:lineRule="auto"/>
        <w:ind w:left="1288"/>
        <w:jc w:val="both"/>
        <w:rPr>
          <w:rFonts w:ascii="Times New Roman" w:eastAsia="PMingLiU" w:hAnsi="Times New Roman" w:cs="Times New Roman"/>
          <w:color w:val="000000"/>
          <w:kern w:val="2"/>
          <w:sz w:val="20"/>
          <w:szCs w:val="20"/>
          <w:lang w:val="en-GB" w:eastAsia="zh-CN"/>
        </w:rPr>
      </w:pPr>
      <w:r w:rsidRPr="00341609">
        <w:rPr>
          <w:rFonts w:ascii="Times New Roman" w:eastAsia="PMingLiU" w:hAnsi="Times New Roman" w:cs="Times New Roman"/>
          <w:color w:val="000000"/>
          <w:kern w:val="2"/>
          <w:sz w:val="20"/>
          <w:szCs w:val="20"/>
          <w:lang w:val="en-GB" w:eastAsia="zh-CN"/>
        </w:rPr>
        <w:t>CBGTI &amp; CBGFI (if configured for the low priority HARQ-ACK codebook for DCI format 1_1 and DCI format 0_1)</w:t>
      </w:r>
    </w:p>
    <w:p w14:paraId="4D7CC249" w14:textId="46363E97" w:rsidR="00ED6E27" w:rsidRPr="00341609" w:rsidRDefault="00ED6E27" w:rsidP="00ED6E27">
      <w:pPr>
        <w:pStyle w:val="ListParagraph"/>
        <w:numPr>
          <w:ilvl w:val="0"/>
          <w:numId w:val="28"/>
        </w:numPr>
        <w:autoSpaceDE w:val="0"/>
        <w:autoSpaceDN w:val="0"/>
        <w:adjustRightInd w:val="0"/>
        <w:snapToGrid w:val="0"/>
        <w:spacing w:after="120" w:line="240" w:lineRule="auto"/>
        <w:ind w:left="1288"/>
        <w:jc w:val="both"/>
        <w:rPr>
          <w:rFonts w:ascii="Times New Roman" w:eastAsia="PMingLiU" w:hAnsi="Times New Roman" w:cs="Times New Roman"/>
          <w:color w:val="0070C0"/>
          <w:kern w:val="2"/>
          <w:sz w:val="20"/>
          <w:szCs w:val="20"/>
          <w:lang w:val="en-GB" w:eastAsia="zh-CN"/>
        </w:rPr>
      </w:pPr>
      <w:r w:rsidRPr="00341609">
        <w:rPr>
          <w:rFonts w:ascii="Times New Roman" w:eastAsia="PMingLiU" w:hAnsi="Times New Roman" w:cs="Times New Roman"/>
          <w:color w:val="0070C0"/>
          <w:kern w:val="2"/>
          <w:sz w:val="20"/>
          <w:szCs w:val="20"/>
          <w:lang w:val="en-GB" w:eastAsia="zh-CN"/>
        </w:rPr>
        <w:t xml:space="preserve">PRI </w:t>
      </w:r>
    </w:p>
    <w:p w14:paraId="4EDE623B" w14:textId="13E11943" w:rsidR="00A60886" w:rsidRDefault="00A60886" w:rsidP="00827333">
      <w:r>
        <w:t xml:space="preserve">The following observations should be taken into consideration when updating the working assumption: </w:t>
      </w:r>
    </w:p>
    <w:p w14:paraId="4B580663" w14:textId="77777777" w:rsidR="00A60886" w:rsidRDefault="00A60886" w:rsidP="00827333">
      <w:pPr>
        <w:pStyle w:val="ListParagraph"/>
        <w:numPr>
          <w:ilvl w:val="0"/>
          <w:numId w:val="29"/>
        </w:numPr>
        <w:rPr>
          <w:rFonts w:ascii="Times New Roman" w:eastAsia="PMingLiU" w:hAnsi="Times New Roman" w:cs="Times New Roman"/>
          <w:sz w:val="20"/>
          <w:szCs w:val="20"/>
          <w:lang w:val="en-GB"/>
        </w:rPr>
      </w:pPr>
      <w:r>
        <w:rPr>
          <w:rFonts w:ascii="Times New Roman" w:eastAsia="PMingLiU" w:hAnsi="Times New Roman" w:cs="Times New Roman"/>
          <w:sz w:val="20"/>
          <w:szCs w:val="20"/>
          <w:lang w:val="en-GB"/>
        </w:rPr>
        <w:lastRenderedPageBreak/>
        <w:t>B</w:t>
      </w:r>
      <w:r w:rsidRPr="00A60886">
        <w:rPr>
          <w:rFonts w:ascii="Times New Roman" w:eastAsia="PMingLiU" w:hAnsi="Times New Roman" w:cs="Times New Roman"/>
          <w:sz w:val="20"/>
          <w:szCs w:val="20"/>
          <w:lang w:val="en-GB"/>
        </w:rPr>
        <w:t>oth R-15 and R-16 DCIs can schedule the same priority traffic.</w:t>
      </w:r>
    </w:p>
    <w:p w14:paraId="495D9E8D" w14:textId="45CD362D" w:rsidR="00ED6E27" w:rsidRDefault="00D435AD" w:rsidP="00827333">
      <w:pPr>
        <w:pStyle w:val="ListParagraph"/>
        <w:numPr>
          <w:ilvl w:val="0"/>
          <w:numId w:val="29"/>
        </w:numPr>
        <w:rPr>
          <w:rFonts w:ascii="Times New Roman" w:eastAsia="PMingLiU" w:hAnsi="Times New Roman" w:cs="Times New Roman"/>
          <w:sz w:val="20"/>
          <w:szCs w:val="20"/>
          <w:lang w:val="en-GB"/>
        </w:rPr>
      </w:pPr>
      <w:r w:rsidRPr="00A60886">
        <w:rPr>
          <w:rFonts w:ascii="Times New Roman" w:eastAsia="PMingLiU" w:hAnsi="Times New Roman" w:cs="Times New Roman"/>
          <w:sz w:val="20"/>
          <w:szCs w:val="20"/>
          <w:lang w:val="en-GB"/>
        </w:rPr>
        <w:t xml:space="preserve">The </w:t>
      </w:r>
      <w:r w:rsidR="00EE4B26">
        <w:rPr>
          <w:rFonts w:ascii="Times New Roman" w:eastAsia="PMingLiU" w:hAnsi="Times New Roman" w:cs="Times New Roman"/>
          <w:sz w:val="20"/>
          <w:szCs w:val="20"/>
          <w:lang w:val="en-GB"/>
        </w:rPr>
        <w:t>PUCCH Resource Indicator</w:t>
      </w:r>
      <w:r w:rsidR="00F51F79">
        <w:rPr>
          <w:rFonts w:ascii="Times New Roman" w:eastAsia="PMingLiU" w:hAnsi="Times New Roman" w:cs="Times New Roman"/>
          <w:sz w:val="20"/>
          <w:szCs w:val="20"/>
          <w:lang w:val="en-GB"/>
        </w:rPr>
        <w:t xml:space="preserve"> bit-field (</w:t>
      </w:r>
      <w:r w:rsidRPr="00A60886">
        <w:rPr>
          <w:rFonts w:ascii="Times New Roman" w:eastAsia="PMingLiU" w:hAnsi="Times New Roman" w:cs="Times New Roman"/>
          <w:sz w:val="20"/>
          <w:szCs w:val="20"/>
          <w:lang w:val="en-GB"/>
        </w:rPr>
        <w:t>PRI</w:t>
      </w:r>
      <w:r w:rsidR="00F51F79">
        <w:rPr>
          <w:rFonts w:ascii="Times New Roman" w:eastAsia="PMingLiU" w:hAnsi="Times New Roman" w:cs="Times New Roman"/>
          <w:sz w:val="20"/>
          <w:szCs w:val="20"/>
          <w:lang w:val="en-GB"/>
        </w:rPr>
        <w:t>)</w:t>
      </w:r>
      <w:r w:rsidRPr="00A60886">
        <w:rPr>
          <w:rFonts w:ascii="Times New Roman" w:eastAsia="PMingLiU" w:hAnsi="Times New Roman" w:cs="Times New Roman"/>
          <w:sz w:val="20"/>
          <w:szCs w:val="20"/>
          <w:lang w:val="en-GB"/>
        </w:rPr>
        <w:t xml:space="preserve"> is also separate for different HARQ-ACK codebooks if UE is configured with two PU</w:t>
      </w:r>
      <w:r w:rsidR="00A60886">
        <w:rPr>
          <w:rFonts w:ascii="Times New Roman" w:eastAsia="PMingLiU" w:hAnsi="Times New Roman" w:cs="Times New Roman"/>
          <w:sz w:val="20"/>
          <w:szCs w:val="20"/>
          <w:lang w:val="en-GB"/>
        </w:rPr>
        <w:t>CCH configurations</w:t>
      </w:r>
      <w:r w:rsidRPr="00A60886">
        <w:rPr>
          <w:rFonts w:ascii="Times New Roman" w:eastAsia="PMingLiU" w:hAnsi="Times New Roman" w:cs="Times New Roman"/>
          <w:sz w:val="20"/>
          <w:szCs w:val="20"/>
          <w:lang w:val="en-GB"/>
        </w:rPr>
        <w:t>. It needs to be included in the bit-fields to be aligned</w:t>
      </w:r>
      <w:r w:rsidR="005F0C98">
        <w:rPr>
          <w:rFonts w:ascii="Times New Roman" w:eastAsia="PMingLiU" w:hAnsi="Times New Roman" w:cs="Times New Roman"/>
          <w:sz w:val="20"/>
          <w:szCs w:val="20"/>
          <w:lang w:val="en-GB"/>
        </w:rPr>
        <w:t>.</w:t>
      </w:r>
    </w:p>
    <w:p w14:paraId="33011BD1" w14:textId="0B9EA747" w:rsidR="00F51F79" w:rsidRPr="00A60886" w:rsidRDefault="00F51F79" w:rsidP="00827333">
      <w:pPr>
        <w:pStyle w:val="ListParagraph"/>
        <w:numPr>
          <w:ilvl w:val="0"/>
          <w:numId w:val="29"/>
        </w:numPr>
        <w:rPr>
          <w:rFonts w:ascii="Times New Roman" w:eastAsia="PMingLiU" w:hAnsi="Times New Roman" w:cs="Times New Roman"/>
          <w:sz w:val="20"/>
          <w:szCs w:val="20"/>
          <w:lang w:val="en-GB"/>
        </w:rPr>
      </w:pPr>
      <w:r>
        <w:rPr>
          <w:rFonts w:ascii="Times New Roman" w:eastAsia="PMingLiU" w:hAnsi="Times New Roman" w:cs="Times New Roman"/>
          <w:sz w:val="20"/>
          <w:szCs w:val="20"/>
          <w:lang w:val="en-GB"/>
        </w:rPr>
        <w:t>There is n</w:t>
      </w:r>
      <w:r w:rsidRPr="00F51F79">
        <w:rPr>
          <w:rFonts w:ascii="Times New Roman" w:eastAsia="PMingLiU" w:hAnsi="Times New Roman" w:cs="Times New Roman"/>
          <w:sz w:val="20"/>
          <w:szCs w:val="20"/>
          <w:lang w:val="en-GB"/>
        </w:rPr>
        <w:t xml:space="preserve">o need for bit-field alignment if </w:t>
      </w:r>
      <w:r w:rsidR="00607368">
        <w:rPr>
          <w:rFonts w:ascii="Times New Roman" w:eastAsia="PMingLiU" w:hAnsi="Times New Roman" w:cs="Times New Roman"/>
          <w:sz w:val="20"/>
          <w:szCs w:val="20"/>
          <w:lang w:val="en-GB"/>
        </w:rPr>
        <w:t xml:space="preserve">the </w:t>
      </w:r>
      <w:r w:rsidRPr="00F51F79">
        <w:rPr>
          <w:rFonts w:ascii="Times New Roman" w:eastAsia="PMingLiU" w:hAnsi="Times New Roman" w:cs="Times New Roman"/>
          <w:sz w:val="20"/>
          <w:szCs w:val="20"/>
          <w:lang w:val="en-GB"/>
        </w:rPr>
        <w:t xml:space="preserve">priority is not </w:t>
      </w:r>
      <w:r w:rsidR="00320D07" w:rsidRPr="00F51F79">
        <w:rPr>
          <w:rFonts w:ascii="Times New Roman" w:eastAsia="PMingLiU" w:hAnsi="Times New Roman" w:cs="Times New Roman"/>
          <w:sz w:val="20"/>
          <w:szCs w:val="20"/>
          <w:lang w:val="en-GB"/>
        </w:rPr>
        <w:t>signalled</w:t>
      </w:r>
      <w:r w:rsidRPr="00F51F79">
        <w:rPr>
          <w:rFonts w:ascii="Times New Roman" w:eastAsia="PMingLiU" w:hAnsi="Times New Roman" w:cs="Times New Roman"/>
          <w:sz w:val="20"/>
          <w:szCs w:val="20"/>
          <w:lang w:val="en-GB"/>
        </w:rPr>
        <w:t xml:space="preserve"> in the DCI.</w:t>
      </w:r>
    </w:p>
    <w:p w14:paraId="0BCC32B6" w14:textId="77777777" w:rsidR="0069150D" w:rsidRPr="00E90D91" w:rsidRDefault="0069150D" w:rsidP="0069150D">
      <w:pPr>
        <w:rPr>
          <w:b/>
          <w:i/>
        </w:rPr>
      </w:pPr>
    </w:p>
    <w:p w14:paraId="21472C9A" w14:textId="2F2C1E4E" w:rsidR="00E90D91" w:rsidRDefault="0069150D" w:rsidP="00E90D91">
      <w:pPr>
        <w:pStyle w:val="Heading1"/>
        <w:jc w:val="both"/>
        <w:rPr>
          <w:lang w:val="en-US" w:eastAsia="zh-TW"/>
        </w:rPr>
      </w:pPr>
      <w:r w:rsidRPr="00E90D91">
        <w:rPr>
          <w:lang w:val="en-US" w:eastAsia="zh-TW"/>
        </w:rPr>
        <w:t>C</w:t>
      </w:r>
      <w:r>
        <w:rPr>
          <w:lang w:val="en-US" w:eastAsia="zh-TW"/>
        </w:rPr>
        <w:t xml:space="preserve">hanging </w:t>
      </w:r>
      <w:r w:rsidRPr="0069150D">
        <w:rPr>
          <w:lang w:val="en-US" w:eastAsia="zh-TW"/>
        </w:rPr>
        <w:t>the candidate RV values from {0, 3} to {0, 2} in case of 1 bit for Redundancy version for DCI format 0_2</w:t>
      </w:r>
    </w:p>
    <w:p w14:paraId="4A935C65" w14:textId="3DD780E6" w:rsidR="0069150D" w:rsidRDefault="0069150D" w:rsidP="0069150D">
      <w:pPr>
        <w:rPr>
          <w:sz w:val="22"/>
          <w:szCs w:val="22"/>
          <w:lang w:eastAsia="ja-JP"/>
        </w:rPr>
      </w:pPr>
      <w:r>
        <w:rPr>
          <w:sz w:val="22"/>
          <w:szCs w:val="22"/>
          <w:lang w:eastAsia="ja-JP"/>
        </w:rPr>
        <w:t xml:space="preserve">We are fine with using </w:t>
      </w:r>
      <w:proofErr w:type="gramStart"/>
      <w:r>
        <w:rPr>
          <w:sz w:val="22"/>
          <w:szCs w:val="22"/>
          <w:lang w:eastAsia="ja-JP"/>
        </w:rPr>
        <w:t>RV{</w:t>
      </w:r>
      <w:proofErr w:type="gramEnd"/>
      <w:r>
        <w:rPr>
          <w:sz w:val="22"/>
          <w:szCs w:val="22"/>
          <w:lang w:eastAsia="ja-JP"/>
        </w:rPr>
        <w:t>0,2} instead of {0,3} for DCI format 0_2. The gNB needs however to ensure low false alarm for DMRS detection</w:t>
      </w:r>
      <w:r w:rsidR="000C3BA5">
        <w:rPr>
          <w:sz w:val="22"/>
          <w:szCs w:val="22"/>
          <w:lang w:eastAsia="ja-JP"/>
        </w:rPr>
        <w:t xml:space="preserve"> when </w:t>
      </w:r>
      <w:r w:rsidR="000C3BA5" w:rsidRPr="00AF0323">
        <w:rPr>
          <w:sz w:val="22"/>
          <w:szCs w:val="22"/>
        </w:rPr>
        <w:t>schedul</w:t>
      </w:r>
      <w:r w:rsidR="000C3BA5">
        <w:rPr>
          <w:sz w:val="22"/>
          <w:szCs w:val="22"/>
        </w:rPr>
        <w:t>ing the retransmission using RV 2</w:t>
      </w:r>
      <w:r>
        <w:rPr>
          <w:sz w:val="22"/>
          <w:szCs w:val="22"/>
          <w:lang w:eastAsia="ja-JP"/>
        </w:rPr>
        <w:t xml:space="preserve">. </w:t>
      </w:r>
    </w:p>
    <w:p w14:paraId="1A261F9C" w14:textId="6C62D1CC" w:rsidR="0069150D" w:rsidRPr="002C5F00" w:rsidRDefault="0069150D" w:rsidP="0069150D">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sidRPr="002C5F00">
        <w:rPr>
          <w:rFonts w:ascii="Times New Roman" w:eastAsia="PMingLiU" w:hAnsi="Times New Roman" w:cs="Times New Roman"/>
          <w:b/>
          <w:i/>
          <w:sz w:val="20"/>
          <w:szCs w:val="20"/>
          <w:lang w:val="en-GB"/>
        </w:rPr>
        <w:t>Use RV values of {0, 2} for DCI format 0_2</w:t>
      </w:r>
      <w:r w:rsidR="004C0BA8">
        <w:rPr>
          <w:rFonts w:ascii="Times New Roman" w:eastAsia="PMingLiU" w:hAnsi="Times New Roman" w:cs="Times New Roman"/>
          <w:b/>
          <w:i/>
          <w:sz w:val="20"/>
          <w:szCs w:val="20"/>
          <w:lang w:val="en-GB"/>
        </w:rPr>
        <w:t>.</w:t>
      </w:r>
    </w:p>
    <w:p w14:paraId="0FDD252A" w14:textId="4831009F" w:rsidR="002F63E3" w:rsidRPr="002F63E3" w:rsidRDefault="002F63E3" w:rsidP="002F63E3">
      <w:pPr>
        <w:pStyle w:val="Heading1"/>
        <w:jc w:val="both"/>
        <w:rPr>
          <w:lang w:val="en-US" w:eastAsia="zh-TW"/>
        </w:rPr>
      </w:pPr>
      <w:r w:rsidRPr="002F63E3">
        <w:rPr>
          <w:lang w:val="en-US" w:eastAsia="zh-TW"/>
        </w:rPr>
        <w:t>Correction to DMRS transmission procedure for PUSCH scheduled by DCI format 0_2 (38.214, Sec. 6.1.4.2 &amp; 6.2.2)</w:t>
      </w:r>
    </w:p>
    <w:p w14:paraId="511489E9" w14:textId="409B0686" w:rsidR="005A5EA5" w:rsidRDefault="005A5EA5" w:rsidP="0069150D">
      <w:pPr>
        <w:rPr>
          <w:color w:val="000000"/>
        </w:rPr>
      </w:pPr>
      <w:r>
        <w:rPr>
          <w:lang w:eastAsia="zh-CN"/>
        </w:rPr>
        <w:t>The issue was raised when the UE is configured to monitor DCI format 0_2 but</w:t>
      </w:r>
      <w:r w:rsidRPr="00D17AB0">
        <w:rPr>
          <w:lang w:eastAsia="zh-CN"/>
        </w:rPr>
        <w:t xml:space="preserve"> </w:t>
      </w:r>
      <w:r w:rsidRPr="00D17AB0">
        <w:rPr>
          <w:i/>
          <w:color w:val="000000"/>
        </w:rPr>
        <w:t>dmrs-UplinkForPUSCH-Ma</w:t>
      </w:r>
      <w:r>
        <w:rPr>
          <w:i/>
          <w:color w:val="000000"/>
        </w:rPr>
        <w:t>ppingTypeA-ForDCIFormat0</w:t>
      </w:r>
      <w:r w:rsidRPr="00D17AB0">
        <w:rPr>
          <w:i/>
          <w:color w:val="000000"/>
        </w:rPr>
        <w:t>_2</w:t>
      </w:r>
      <w:r w:rsidRPr="00D17AB0">
        <w:rPr>
          <w:color w:val="000000"/>
        </w:rPr>
        <w:t xml:space="preserve"> and </w:t>
      </w:r>
      <w:r w:rsidRPr="00D17AB0">
        <w:rPr>
          <w:i/>
          <w:color w:val="000000"/>
        </w:rPr>
        <w:t>dmrs-UplinkFor</w:t>
      </w:r>
      <w:r>
        <w:rPr>
          <w:i/>
          <w:color w:val="000000"/>
        </w:rPr>
        <w:t>PUSCH-MappingTypeB-ForDCIFormat0</w:t>
      </w:r>
      <w:r w:rsidRPr="00D17AB0">
        <w:rPr>
          <w:i/>
          <w:color w:val="000000"/>
        </w:rPr>
        <w:t>_2</w:t>
      </w:r>
      <w:r w:rsidRPr="00D17AB0">
        <w:rPr>
          <w:color w:val="000000"/>
        </w:rPr>
        <w:t xml:space="preserve"> are not configured</w:t>
      </w:r>
      <w:r>
        <w:rPr>
          <w:color w:val="000000"/>
        </w:rPr>
        <w:t xml:space="preserve"> to the UE. In this case, the UE should follow the configuration of the fall-back DCI format 0_0 otherwise the non-fall-back DCI 0_1. </w:t>
      </w:r>
    </w:p>
    <w:p w14:paraId="003D2CF8" w14:textId="1437798F" w:rsidR="005A5EA5" w:rsidRPr="00820040" w:rsidRDefault="005A5EA5" w:rsidP="0069150D">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sidRPr="00820040">
        <w:rPr>
          <w:rFonts w:ascii="Times New Roman" w:eastAsia="PMingLiU" w:hAnsi="Times New Roman" w:cs="Times New Roman"/>
          <w:b/>
          <w:i/>
          <w:sz w:val="20"/>
          <w:szCs w:val="20"/>
          <w:lang w:val="en-GB"/>
        </w:rPr>
        <w:t>If the UE is not RRC configured with a DMRS configuration for DCI format 0_2, we are in favour of following the DMRS configuration of the DCI format 0_0 otherwise the DCI format 0_1.</w:t>
      </w:r>
      <w:r w:rsidRPr="00820040">
        <w:rPr>
          <w:color w:val="000000"/>
          <w:highlight w:val="yellow"/>
        </w:rPr>
        <w:t xml:space="preserve"> </w:t>
      </w:r>
    </w:p>
    <w:p w14:paraId="176D1DBE" w14:textId="75526921" w:rsidR="0084239A" w:rsidRDefault="0084239A" w:rsidP="00940AB5">
      <w:pPr>
        <w:pStyle w:val="Heading1"/>
        <w:jc w:val="both"/>
        <w:rPr>
          <w:lang w:val="en-US" w:eastAsia="zh-TW"/>
        </w:rPr>
      </w:pPr>
      <w:r>
        <w:rPr>
          <w:lang w:val="en-US" w:eastAsia="zh-TW"/>
        </w:rPr>
        <w:t>Removing</w:t>
      </w:r>
      <w:r w:rsidRPr="0084239A">
        <w:rPr>
          <w:lang w:val="en-US" w:eastAsia="zh-TW"/>
        </w:rPr>
        <w:t xml:space="preserve"> CBG PUSCH additions to DCI format 0_1 (38.212, Sec. </w:t>
      </w:r>
      <w:r w:rsidRPr="0084239A">
        <w:rPr>
          <w:rFonts w:hint="eastAsia"/>
          <w:lang w:val="en-US" w:eastAsia="zh-TW"/>
        </w:rPr>
        <w:t>7.3.1.1.2</w:t>
      </w:r>
      <w:r w:rsidRPr="0084239A">
        <w:rPr>
          <w:lang w:val="en-US" w:eastAsia="zh-TW"/>
        </w:rPr>
        <w:t>)</w:t>
      </w:r>
    </w:p>
    <w:p w14:paraId="759806EE" w14:textId="65468918" w:rsidR="0084239A" w:rsidRDefault="00853FFB" w:rsidP="0084239A">
      <w:pPr>
        <w:rPr>
          <w:lang w:eastAsia="zh-CN"/>
        </w:rPr>
      </w:pPr>
      <w:r>
        <w:rPr>
          <w:kern w:val="2"/>
          <w:lang w:eastAsia="zh-CN"/>
        </w:rPr>
        <w:t xml:space="preserve">We are in favour </w:t>
      </w:r>
      <w:r w:rsidR="00E32F06">
        <w:rPr>
          <w:kern w:val="2"/>
          <w:lang w:eastAsia="zh-CN"/>
        </w:rPr>
        <w:t>of</w:t>
      </w:r>
      <w:r>
        <w:rPr>
          <w:kern w:val="2"/>
          <w:lang w:eastAsia="zh-CN"/>
        </w:rPr>
        <w:t xml:space="preserve"> </w:t>
      </w:r>
      <w:r w:rsidRPr="00637714">
        <w:rPr>
          <w:kern w:val="2"/>
          <w:lang w:eastAsia="zh-CN"/>
        </w:rPr>
        <w:t>r</w:t>
      </w:r>
      <w:r>
        <w:rPr>
          <w:lang w:eastAsia="zh-CN"/>
        </w:rPr>
        <w:t>emoving</w:t>
      </w:r>
      <w:r w:rsidRPr="00637714">
        <w:rPr>
          <w:lang w:eastAsia="zh-CN"/>
        </w:rPr>
        <w:t xml:space="preserve"> the addition of CBG based PUSCH to DCI format 0_1 in Sec. 7.3.1.1.2 of TS 38.212</w:t>
      </w:r>
      <w:r w:rsidR="00B54455">
        <w:rPr>
          <w:lang w:eastAsia="zh-CN"/>
        </w:rPr>
        <w:t>:</w:t>
      </w:r>
      <w:r>
        <w:rPr>
          <w:lang w:eastAsia="zh-CN"/>
        </w:rPr>
        <w:t xml:space="preserve"> </w:t>
      </w:r>
    </w:p>
    <w:p w14:paraId="7F63AE05" w14:textId="77777777" w:rsidR="00B54455" w:rsidRPr="00F57172" w:rsidRDefault="00B54455" w:rsidP="00B54455">
      <w:pPr>
        <w:pStyle w:val="B1"/>
        <w:ind w:firstLine="0"/>
        <w:rPr>
          <w:strike/>
          <w:lang w:eastAsia="zh-CN"/>
        </w:rPr>
      </w:pPr>
      <w:r w:rsidRPr="00F57172">
        <w:rPr>
          <w:rFonts w:hint="eastAsia"/>
          <w:strike/>
          <w:lang w:eastAsia="zh-CN"/>
        </w:rPr>
        <w:t>[</w:t>
      </w:r>
      <w:r w:rsidRPr="00F57172">
        <w:rPr>
          <w:strike/>
        </w:rPr>
        <w:t>When two HARQ-ACK codebooks are configured for the same serving cell,</w:t>
      </w:r>
      <w:r w:rsidRPr="00F57172">
        <w:rPr>
          <w:rFonts w:eastAsia="DengXian"/>
          <w:strike/>
          <w:lang w:eastAsia="zh-CN"/>
        </w:rPr>
        <w:t xml:space="preserve"> if the bit width of the </w:t>
      </w:r>
      <w:r w:rsidRPr="00F57172">
        <w:rPr>
          <w:rFonts w:hint="eastAsia"/>
          <w:strike/>
          <w:lang w:eastAsia="zh-CN"/>
        </w:rPr>
        <w:t>CBG transmission information</w:t>
      </w:r>
      <w:r w:rsidRPr="00F57172">
        <w:rPr>
          <w:strike/>
          <w:lang w:eastAsia="zh-CN"/>
        </w:rPr>
        <w:t xml:space="preserve"> in DCI format 0_1 </w:t>
      </w:r>
      <w:r w:rsidRPr="00F57172">
        <w:rPr>
          <w:strike/>
        </w:rPr>
        <w:t>for</w:t>
      </w:r>
      <w:r w:rsidRPr="00F57172">
        <w:rPr>
          <w:rFonts w:eastAsia="DengXian"/>
          <w:strike/>
          <w:lang w:eastAsia="zh-CN"/>
        </w:rPr>
        <w:t xml:space="preserve"> one HARQ-ACK codebook is not equal to that of the</w:t>
      </w:r>
      <w:r w:rsidRPr="00F57172">
        <w:rPr>
          <w:rFonts w:hint="eastAsia"/>
          <w:strike/>
          <w:lang w:eastAsia="zh-CN"/>
        </w:rPr>
        <w:t xml:space="preserve"> CBG transmission information </w:t>
      </w:r>
      <w:r w:rsidRPr="00F57172">
        <w:rPr>
          <w:strike/>
          <w:lang w:eastAsia="zh-CN"/>
        </w:rPr>
        <w:t xml:space="preserve">in DCI format 0_1 </w:t>
      </w:r>
      <w:r w:rsidRPr="00F57172">
        <w:rPr>
          <w:rFonts w:eastAsia="DengXian"/>
          <w:strike/>
          <w:lang w:eastAsia="zh-CN"/>
        </w:rPr>
        <w:t xml:space="preserve">for the other HARQ-ACK codebook, a number of </w:t>
      </w:r>
      <w:r w:rsidRPr="00F57172">
        <w:rPr>
          <w:rFonts w:eastAsia="MS Mincho"/>
          <w:strike/>
          <w:kern w:val="2"/>
        </w:rPr>
        <w:t xml:space="preserve">most significant bits with value set to '0' are inserted </w:t>
      </w:r>
      <w:r w:rsidRPr="00F57172">
        <w:rPr>
          <w:rFonts w:eastAsia="DengXian"/>
          <w:strike/>
          <w:lang w:eastAsia="zh-CN"/>
        </w:rPr>
        <w:t>to smaller</w:t>
      </w:r>
      <w:r w:rsidRPr="00F57172">
        <w:rPr>
          <w:strike/>
          <w:lang w:eastAsia="zh-CN"/>
        </w:rPr>
        <w:t xml:space="preserve"> </w:t>
      </w:r>
      <w:r w:rsidRPr="00F57172">
        <w:rPr>
          <w:rFonts w:hint="eastAsia"/>
          <w:strike/>
          <w:lang w:eastAsia="zh-CN"/>
        </w:rPr>
        <w:t>CBG transmission information</w:t>
      </w:r>
      <w:r w:rsidRPr="00F57172">
        <w:rPr>
          <w:rFonts w:eastAsia="DengXian"/>
          <w:strike/>
          <w:lang w:eastAsia="zh-CN"/>
        </w:rPr>
        <w:t xml:space="preserve"> until the bit width of the </w:t>
      </w:r>
      <w:r w:rsidRPr="00F57172">
        <w:rPr>
          <w:rFonts w:hint="eastAsia"/>
          <w:strike/>
          <w:lang w:eastAsia="zh-CN"/>
        </w:rPr>
        <w:t xml:space="preserve">CBG transmission information </w:t>
      </w:r>
      <w:r w:rsidRPr="00F57172">
        <w:rPr>
          <w:strike/>
          <w:lang w:eastAsia="zh-CN"/>
        </w:rPr>
        <w:t>in DCI format 0_1</w:t>
      </w:r>
      <w:r w:rsidRPr="00F57172">
        <w:rPr>
          <w:rFonts w:eastAsia="DengXian"/>
          <w:strike/>
          <w:lang w:eastAsia="zh-CN"/>
        </w:rPr>
        <w:t xml:space="preserve"> for the two HARQ-ACK codebooks are the same.</w:t>
      </w:r>
      <w:r w:rsidRPr="00F57172">
        <w:rPr>
          <w:rFonts w:eastAsia="DengXian" w:hint="eastAsia"/>
          <w:strike/>
          <w:lang w:eastAsia="zh-CN"/>
        </w:rPr>
        <w:t>]</w:t>
      </w:r>
    </w:p>
    <w:p w14:paraId="30DBEF6F" w14:textId="77777777" w:rsidR="00B54455" w:rsidRDefault="00B54455" w:rsidP="0084239A">
      <w:pPr>
        <w:rPr>
          <w:lang w:eastAsia="zh-CN"/>
        </w:rPr>
      </w:pPr>
    </w:p>
    <w:p w14:paraId="56ECB262" w14:textId="77777777" w:rsidR="00E32F06" w:rsidRDefault="00E32F06" w:rsidP="00E32F06">
      <w:pPr>
        <w:rPr>
          <w:lang w:eastAsia="zh-TW"/>
        </w:rPr>
      </w:pPr>
      <w:r>
        <w:rPr>
          <w:lang w:eastAsia="zh-TW"/>
        </w:rPr>
        <w:t>The CBG Transmission Information bit-field (CBGTI) i</w:t>
      </w:r>
      <w:r w:rsidRPr="00E32F06">
        <w:rPr>
          <w:lang w:eastAsia="zh-TW"/>
        </w:rPr>
        <w:t>ndic</w:t>
      </w:r>
      <w:r>
        <w:rPr>
          <w:lang w:eastAsia="zh-TW"/>
        </w:rPr>
        <w:t>ates the CBG(s) (re)transmitted and is d</w:t>
      </w:r>
      <w:r w:rsidRPr="00E32F06">
        <w:rPr>
          <w:lang w:eastAsia="zh-TW"/>
        </w:rPr>
        <w:t xml:space="preserve">etermined by higher layer parameter </w:t>
      </w:r>
      <w:r w:rsidRPr="00E32F06">
        <w:rPr>
          <w:i/>
          <w:iCs/>
          <w:lang w:eastAsia="zh-TW"/>
        </w:rPr>
        <w:t>maxCodeBlockGroupsPerTransportBlock</w:t>
      </w:r>
      <w:r w:rsidRPr="00E32F06">
        <w:rPr>
          <w:lang w:eastAsia="zh-TW"/>
        </w:rPr>
        <w:t xml:space="preserve"> for PUSCH.</w:t>
      </w:r>
    </w:p>
    <w:p w14:paraId="74C272DD" w14:textId="656C6A17" w:rsidR="00E32F06" w:rsidRDefault="00E32F06" w:rsidP="00E32F06">
      <w:pPr>
        <w:rPr>
          <w:lang w:eastAsia="zh-TW"/>
        </w:rPr>
      </w:pPr>
      <w:r>
        <w:rPr>
          <w:lang w:eastAsia="zh-TW"/>
        </w:rPr>
        <w:t xml:space="preserve"> In the case of PUSCH scheduled by DCI format 0_1, the bit-fields in this DCI doesn’t depend on the number of HARQ-ACK codebook</w:t>
      </w:r>
      <w:r w:rsidR="00B30C38">
        <w:rPr>
          <w:lang w:eastAsia="zh-TW"/>
        </w:rPr>
        <w:t>s</w:t>
      </w:r>
      <w:r>
        <w:rPr>
          <w:lang w:eastAsia="zh-TW"/>
        </w:rPr>
        <w:t xml:space="preserve"> configured to the UE</w:t>
      </w:r>
      <w:r w:rsidR="00B30C38">
        <w:rPr>
          <w:lang w:eastAsia="zh-TW"/>
        </w:rPr>
        <w:t xml:space="preserve"> since this DCI is for PUSCH scheduling</w:t>
      </w:r>
      <w:r w:rsidR="002D130F">
        <w:rPr>
          <w:lang w:eastAsia="zh-TW"/>
        </w:rPr>
        <w:t xml:space="preserve"> and not for PDSCH scheduling</w:t>
      </w:r>
      <w:r>
        <w:rPr>
          <w:lang w:eastAsia="zh-TW"/>
        </w:rPr>
        <w:t xml:space="preserve">. </w:t>
      </w:r>
    </w:p>
    <w:p w14:paraId="3387E200" w14:textId="77777777" w:rsidR="008A0B5D" w:rsidRDefault="008A0B5D" w:rsidP="00E32F06">
      <w:pPr>
        <w:rPr>
          <w:lang w:eastAsia="zh-TW"/>
        </w:rPr>
      </w:pPr>
    </w:p>
    <w:p w14:paraId="2F100AB6" w14:textId="1A1F004A" w:rsidR="00B54455" w:rsidRPr="00820040" w:rsidRDefault="00B54455" w:rsidP="00B54455">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sidRPr="00820040">
        <w:rPr>
          <w:rFonts w:ascii="Times New Roman" w:eastAsia="PMingLiU" w:hAnsi="Times New Roman" w:cs="Times New Roman"/>
          <w:b/>
          <w:i/>
          <w:sz w:val="20"/>
          <w:szCs w:val="20"/>
          <w:lang w:val="en-GB"/>
        </w:rPr>
        <w:t>Remove the addition of CBG based PUSCH to DCI format 0_1 in Sec. 7.3.1.1.2 of TS 38.212</w:t>
      </w:r>
    </w:p>
    <w:p w14:paraId="4AEB5017" w14:textId="77777777" w:rsidR="0000584F" w:rsidRDefault="0000584F" w:rsidP="0000584F">
      <w:pPr>
        <w:rPr>
          <w:color w:val="000000"/>
          <w:highlight w:val="yellow"/>
        </w:rPr>
      </w:pPr>
    </w:p>
    <w:p w14:paraId="66A0BA3C" w14:textId="5DCEA78F" w:rsidR="0000584F" w:rsidRPr="0000584F" w:rsidRDefault="0000584F" w:rsidP="0000584F">
      <w:pPr>
        <w:pStyle w:val="Heading1"/>
        <w:jc w:val="both"/>
        <w:rPr>
          <w:lang w:val="en-US" w:eastAsia="zh-TW"/>
        </w:rPr>
      </w:pPr>
      <w:r w:rsidRPr="0000584F">
        <w:rPr>
          <w:lang w:val="en-US" w:eastAsia="zh-TW"/>
        </w:rPr>
        <w:t>Pi/2-BPSK for the new DMRS and DCI format 0_2</w:t>
      </w:r>
    </w:p>
    <w:p w14:paraId="1DCFF49B" w14:textId="063175C5" w:rsidR="00563788" w:rsidRPr="00563788" w:rsidRDefault="00563788" w:rsidP="00563788">
      <w:pPr>
        <w:rPr>
          <w:lang w:eastAsia="zh-TW"/>
        </w:rPr>
      </w:pPr>
      <w:r w:rsidRPr="00563788">
        <w:rPr>
          <w:lang w:eastAsia="zh-TW"/>
        </w:rPr>
        <w:t>For pi/2-BPSK DMRS, it is already agreed in 100e-bis meeting that the pi/2-BPSK DMRS will be applie</w:t>
      </w:r>
      <w:r>
        <w:rPr>
          <w:lang w:eastAsia="zh-TW"/>
        </w:rPr>
        <w:t xml:space="preserve">d to PUSCH scheduled by DCI 0_2 and this issue could be removed from the list of open issues. </w:t>
      </w:r>
    </w:p>
    <w:p w14:paraId="4DE7A44B" w14:textId="77777777" w:rsidR="00563788" w:rsidRDefault="00563788" w:rsidP="00563788">
      <w:pPr>
        <w:rPr>
          <w:color w:val="1F497D"/>
        </w:rPr>
      </w:pPr>
    </w:p>
    <w:p w14:paraId="0F2E93B0" w14:textId="77777777" w:rsidR="00563788" w:rsidRDefault="00563788" w:rsidP="00563788">
      <w:pPr>
        <w:rPr>
          <w:rFonts w:ascii="Calibri" w:hAnsi="Calibri" w:cs="MS PGothic"/>
          <w:b/>
          <w:bCs/>
          <w:sz w:val="22"/>
          <w:szCs w:val="22"/>
          <w:lang w:eastAsia="x-none"/>
        </w:rPr>
      </w:pPr>
      <w:r>
        <w:rPr>
          <w:b/>
          <w:bCs/>
          <w:highlight w:val="green"/>
          <w:lang w:eastAsia="x-none"/>
        </w:rPr>
        <w:t>Agreement</w:t>
      </w:r>
    </w:p>
    <w:p w14:paraId="08E47E9D" w14:textId="77777777" w:rsidR="00563788" w:rsidRDefault="00563788" w:rsidP="00563788">
      <w:pPr>
        <w:rPr>
          <w:lang w:eastAsia="x-none"/>
        </w:rPr>
      </w:pPr>
      <w:r>
        <w:rPr>
          <w:lang w:eastAsia="x-none"/>
        </w:rPr>
        <w:t>The text proposal in R1-2002791 is approved for the editor’s CRs for TS38.211 and TS38.212.</w:t>
      </w:r>
    </w:p>
    <w:p w14:paraId="1BC95973" w14:textId="77777777" w:rsidR="00E52145" w:rsidRPr="003761B4" w:rsidRDefault="00E52145" w:rsidP="00E52145">
      <w:pPr>
        <w:spacing w:after="120"/>
        <w:jc w:val="both"/>
        <w:rPr>
          <w:b/>
          <w:i/>
        </w:rPr>
      </w:pPr>
    </w:p>
    <w:p w14:paraId="167940E2" w14:textId="332A2467" w:rsidR="00E52145" w:rsidRPr="002C5F00" w:rsidRDefault="00E52145" w:rsidP="00E52145">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 </w:t>
      </w:r>
      <w:proofErr w:type="gramStart"/>
      <w:r w:rsidRPr="00E52145">
        <w:rPr>
          <w:rFonts w:ascii="Times New Roman" w:eastAsia="PMingLiU" w:hAnsi="Times New Roman" w:cs="Times New Roman"/>
          <w:b/>
          <w:i/>
          <w:sz w:val="20"/>
          <w:szCs w:val="20"/>
          <w:lang w:val="en-GB"/>
        </w:rPr>
        <w:t>pi/2-BPSK</w:t>
      </w:r>
      <w:proofErr w:type="gramEnd"/>
      <w:r w:rsidRPr="00E52145">
        <w:rPr>
          <w:rFonts w:ascii="Times New Roman" w:eastAsia="PMingLiU" w:hAnsi="Times New Roman" w:cs="Times New Roman"/>
          <w:b/>
          <w:i/>
          <w:sz w:val="20"/>
          <w:szCs w:val="20"/>
          <w:lang w:val="en-GB"/>
        </w:rPr>
        <w:t xml:space="preserve"> DMRS, to be removed from</w:t>
      </w:r>
      <w:r>
        <w:rPr>
          <w:rFonts w:ascii="Times New Roman" w:eastAsia="PMingLiU" w:hAnsi="Times New Roman" w:cs="Times New Roman"/>
          <w:b/>
          <w:i/>
          <w:sz w:val="20"/>
          <w:szCs w:val="20"/>
          <w:lang w:val="en-GB"/>
        </w:rPr>
        <w:t xml:space="preserve"> the</w:t>
      </w:r>
      <w:r w:rsidRPr="00E52145">
        <w:rPr>
          <w:rFonts w:ascii="Times New Roman" w:eastAsia="PMingLiU" w:hAnsi="Times New Roman" w:cs="Times New Roman"/>
          <w:b/>
          <w:i/>
          <w:sz w:val="20"/>
          <w:szCs w:val="20"/>
          <w:lang w:val="en-GB"/>
        </w:rPr>
        <w:t xml:space="preserve"> list of open issues.</w:t>
      </w:r>
    </w:p>
    <w:p w14:paraId="7A167A06" w14:textId="77777777" w:rsidR="001B5BE6" w:rsidRDefault="001B5BE6" w:rsidP="001B5BE6">
      <w:pPr>
        <w:rPr>
          <w:color w:val="000000"/>
          <w:highlight w:val="yellow"/>
        </w:rPr>
      </w:pPr>
    </w:p>
    <w:p w14:paraId="3DE4FDCE" w14:textId="47A4BCAF" w:rsidR="001B5BE6" w:rsidRPr="001B5BE6" w:rsidRDefault="001B5BE6" w:rsidP="001B5BE6">
      <w:pPr>
        <w:pStyle w:val="Heading1"/>
        <w:jc w:val="both"/>
        <w:rPr>
          <w:lang w:val="en-US" w:eastAsia="zh-TW"/>
        </w:rPr>
      </w:pPr>
      <w:r w:rsidRPr="001B5BE6">
        <w:rPr>
          <w:lang w:val="en-US" w:eastAsia="zh-TW"/>
        </w:rPr>
        <w:t xml:space="preserve">PUCCH resource determination </w:t>
      </w:r>
      <w:r w:rsidRPr="001B5BE6">
        <w:rPr>
          <w:rFonts w:hint="eastAsia"/>
          <w:lang w:val="en-US" w:eastAsia="zh-TW"/>
        </w:rPr>
        <w:t>for reduced size of PRI fiel</w:t>
      </w:r>
      <w:r w:rsidRPr="001B5BE6">
        <w:rPr>
          <w:lang w:val="en-US" w:eastAsia="zh-TW"/>
        </w:rPr>
        <w:t>d</w:t>
      </w:r>
    </w:p>
    <w:p w14:paraId="79723896" w14:textId="77777777" w:rsidR="00180B84" w:rsidRDefault="00180B84" w:rsidP="00180B84">
      <w:pPr>
        <w:pStyle w:val="BodyText"/>
      </w:pPr>
      <w:r>
        <w:t xml:space="preserve">PRI field in DCI format 1_2 can be configured as 0/1/2/3 bits. </w:t>
      </w:r>
    </w:p>
    <w:p w14:paraId="2DF1DC83" w14:textId="77777777" w:rsidR="00180B84" w:rsidRDefault="00180B84" w:rsidP="00180B84">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5EAB80D7" w14:textId="181C1822" w:rsidR="00E32F06" w:rsidRDefault="00180B84" w:rsidP="0084239A">
      <w:r w:rsidRPr="00180B84">
        <w:rPr>
          <w:lang w:eastAsia="zh-TW"/>
        </w:rPr>
        <w:t>The issue raised is how to determine the PUCCH resource when it is without PRI</w:t>
      </w:r>
      <w:r>
        <w:rPr>
          <w:lang w:eastAsia="zh-TW"/>
        </w:rPr>
        <w:t xml:space="preserve"> (</w:t>
      </w:r>
      <w:r w:rsidRPr="00180B84">
        <w:rPr>
          <w:lang w:eastAsia="zh-TW"/>
        </w:rPr>
        <w:t>0 bits PRI field)</w:t>
      </w:r>
      <w:r>
        <w:rPr>
          <w:lang w:eastAsia="zh-TW"/>
        </w:rPr>
        <w:t xml:space="preserve">. In this case, we are in favour of using </w:t>
      </w:r>
      <w:r>
        <w:t>the first PUCCH resource configured in the set.</w:t>
      </w:r>
    </w:p>
    <w:p w14:paraId="1CED3E60" w14:textId="77777777" w:rsidR="00E52145" w:rsidRPr="003761B4" w:rsidRDefault="00E52145" w:rsidP="00E52145">
      <w:pPr>
        <w:spacing w:after="120"/>
        <w:jc w:val="both"/>
        <w:rPr>
          <w:b/>
          <w:i/>
        </w:rPr>
      </w:pPr>
    </w:p>
    <w:p w14:paraId="1AE9D84F" w14:textId="28160E1B" w:rsidR="00180B84" w:rsidRPr="00E52145" w:rsidRDefault="00180B84" w:rsidP="0084239A">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sidRPr="00E52145">
        <w:rPr>
          <w:rFonts w:ascii="Times New Roman" w:eastAsia="PMingLiU" w:hAnsi="Times New Roman" w:cs="Times New Roman"/>
          <w:b/>
          <w:i/>
          <w:sz w:val="20"/>
          <w:szCs w:val="20"/>
          <w:lang w:val="en-GB"/>
        </w:rPr>
        <w:t>When the PRI bit-field has 0 bits, select the first PUCCH resource configured in the set.</w:t>
      </w:r>
    </w:p>
    <w:p w14:paraId="52FDBED0" w14:textId="77777777" w:rsidR="006E5EE4" w:rsidRDefault="006E5EE4" w:rsidP="0084239A">
      <w:pPr>
        <w:rPr>
          <w:b/>
          <w:i/>
        </w:rPr>
      </w:pPr>
    </w:p>
    <w:p w14:paraId="6B8E034F" w14:textId="6D80D998" w:rsidR="006E5EE4" w:rsidRDefault="006E5EE4" w:rsidP="0084239A">
      <w:pPr>
        <w:pStyle w:val="Heading1"/>
        <w:jc w:val="both"/>
        <w:rPr>
          <w:bCs/>
          <w:lang w:eastAsia="zh-CN"/>
        </w:rPr>
      </w:pPr>
      <w:r>
        <w:rPr>
          <w:lang w:val="en-US" w:eastAsia="zh-TW"/>
        </w:rPr>
        <w:t xml:space="preserve"> </w:t>
      </w:r>
      <w:r w:rsidRPr="006E5EE4">
        <w:rPr>
          <w:lang w:val="en-US" w:eastAsia="zh-TW"/>
        </w:rPr>
        <w:t>Switching between Rel-15 and Rel-16 PDCCH</w:t>
      </w:r>
    </w:p>
    <w:p w14:paraId="0B5D3CC9" w14:textId="13DF669F" w:rsidR="006E5EE4" w:rsidRDefault="0088430E" w:rsidP="006E5EE4">
      <w:pPr>
        <w:rPr>
          <w:b/>
          <w:bCs/>
        </w:rPr>
      </w:pPr>
      <w:r>
        <w:rPr>
          <w:lang w:val="en-US" w:eastAsia="zh-CN"/>
        </w:rPr>
        <w:t xml:space="preserve">This issue is an optimization issue which aims at reducing the </w:t>
      </w:r>
      <w:r w:rsidRPr="0088430E">
        <w:rPr>
          <w:lang w:val="en-US" w:eastAsia="zh-CN"/>
        </w:rPr>
        <w:t>RR</w:t>
      </w:r>
      <w:r w:rsidR="003761B4">
        <w:rPr>
          <w:lang w:val="en-US" w:eastAsia="zh-CN"/>
        </w:rPr>
        <w:t>C signaling overhead. I</w:t>
      </w:r>
      <w:r w:rsidRPr="0088430E">
        <w:rPr>
          <w:lang w:val="en-US" w:eastAsia="zh-CN"/>
        </w:rPr>
        <w:t>t could be h</w:t>
      </w:r>
      <w:r>
        <w:rPr>
          <w:lang w:val="en-US" w:eastAsia="zh-CN"/>
        </w:rPr>
        <w:t xml:space="preserve">andled by the </w:t>
      </w:r>
      <w:proofErr w:type="spellStart"/>
      <w:r>
        <w:rPr>
          <w:lang w:val="en-US" w:eastAsia="zh-CN"/>
        </w:rPr>
        <w:t>gNB</w:t>
      </w:r>
      <w:proofErr w:type="spellEnd"/>
      <w:r>
        <w:rPr>
          <w:lang w:val="en-US" w:eastAsia="zh-CN"/>
        </w:rPr>
        <w:t xml:space="preserve">. But in case some </w:t>
      </w:r>
      <w:r w:rsidRPr="0088430E">
        <w:rPr>
          <w:lang w:val="en-US" w:eastAsia="zh-CN"/>
        </w:rPr>
        <w:t xml:space="preserve">companies want to discuss this topic, it is better to discuss it RAN2 as it aims to optimize the RRC </w:t>
      </w:r>
      <w:r>
        <w:rPr>
          <w:lang w:val="en-US" w:eastAsia="zh-CN"/>
        </w:rPr>
        <w:t>signaling and has nothing to do with the RAN1 design</w:t>
      </w:r>
      <w:r w:rsidRPr="0088430E">
        <w:rPr>
          <w:lang w:val="en-US" w:eastAsia="zh-CN"/>
        </w:rPr>
        <w:t>.</w:t>
      </w:r>
      <w:r>
        <w:rPr>
          <w:b/>
          <w:bCs/>
        </w:rPr>
        <w:t xml:space="preserve"> </w:t>
      </w:r>
    </w:p>
    <w:p w14:paraId="132E57FB" w14:textId="77777777" w:rsidR="00D000DE" w:rsidRPr="003761B4" w:rsidRDefault="00D000DE" w:rsidP="00D000DE">
      <w:pPr>
        <w:spacing w:after="120"/>
        <w:jc w:val="both"/>
        <w:rPr>
          <w:b/>
          <w:i/>
        </w:rPr>
      </w:pPr>
    </w:p>
    <w:p w14:paraId="73F1FED7" w14:textId="4ABB3207" w:rsidR="00D000DE" w:rsidRPr="002C5F00" w:rsidRDefault="00D000DE" w:rsidP="00D000DE">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 Switching between Rel-15 and Rel-16 PDCCH is an optimization of the RRC signalling and should be treated in RAN2 if needed.</w:t>
      </w:r>
    </w:p>
    <w:p w14:paraId="5F29C12A" w14:textId="1E1C9330" w:rsidR="009A5F5F" w:rsidRPr="009A5F5F" w:rsidRDefault="000A1688" w:rsidP="009A5F5F">
      <w:pPr>
        <w:pStyle w:val="Heading1"/>
        <w:jc w:val="both"/>
        <w:rPr>
          <w:lang w:val="en-US" w:eastAsia="zh-TW"/>
        </w:rPr>
      </w:pPr>
      <w:r>
        <w:rPr>
          <w:lang w:val="en-US" w:eastAsia="zh-TW"/>
        </w:rPr>
        <w:t xml:space="preserve"> </w:t>
      </w:r>
      <w:r w:rsidR="009A5F5F" w:rsidRPr="009A5F5F">
        <w:rPr>
          <w:lang w:val="en-US" w:eastAsia="zh-TW"/>
        </w:rPr>
        <w:t xml:space="preserve">Whether/how to extend Rel-16 PDCCH monitoring capability to multi-TRP case      </w:t>
      </w:r>
    </w:p>
    <w:p w14:paraId="5184C448" w14:textId="3F6AE5F8" w:rsidR="004661AC" w:rsidRPr="004661AC" w:rsidRDefault="004661AC" w:rsidP="004661AC">
      <w:r w:rsidRPr="004661AC">
        <w:t>Some companies noticed that R16 eMIMO also touched upon monitoring capability due to the introduction of multi-TRP operation.</w:t>
      </w:r>
      <w:r>
        <w:t xml:space="preserve"> </w:t>
      </w:r>
      <w:r w:rsidRPr="004661AC">
        <w:t>They simply want to extend the span-based monitoring capability to multi-TRP operation as well.</w:t>
      </w:r>
      <w:r>
        <w:t xml:space="preserve"> C</w:t>
      </w:r>
      <w:r w:rsidRPr="004661AC">
        <w:t>onceptually it should be straightforward, but the motivation is unclear.</w:t>
      </w:r>
      <w:r>
        <w:t xml:space="preserve"> </w:t>
      </w:r>
      <w:r w:rsidRPr="004661AC">
        <w:t xml:space="preserve">The monitoring capability is modified by R16 eMIMO WI due to introduction of multi-DCI based multi-TRP, but multi-DCI based multi-TRP is aimed for </w:t>
      </w:r>
      <w:r w:rsidRPr="004661AC">
        <w:lastRenderedPageBreak/>
        <w:t>throughput, i.e., for eMBB.</w:t>
      </w:r>
      <w:r>
        <w:t xml:space="preserve"> </w:t>
      </w:r>
      <w:r w:rsidRPr="004661AC">
        <w:t>In multi-TRP operation, all enhancements for reliability (URLLC) are through single-DCI based operations (assuming ideal backhaul), which does not require any modification of R15 spec on monitoring capability.</w:t>
      </w:r>
      <w:r w:rsidR="00570A2B">
        <w:t xml:space="preserve"> </w:t>
      </w:r>
      <w:r w:rsidRPr="004661AC">
        <w:t xml:space="preserve">Also, </w:t>
      </w:r>
      <w:r>
        <w:t xml:space="preserve">we don’t </w:t>
      </w:r>
      <w:r w:rsidRPr="004661AC">
        <w:t>think multi-TRP operation can help reduce latency.</w:t>
      </w:r>
      <w:r>
        <w:t xml:space="preserve"> Thus, we</w:t>
      </w:r>
      <w:r w:rsidRPr="004661AC">
        <w:t xml:space="preserve"> do not see a use case for combining span-based monitoring capability and multi-DCI based multi-TRP.</w:t>
      </w:r>
    </w:p>
    <w:p w14:paraId="6D6AEC99" w14:textId="6A954C48" w:rsidR="004661AC" w:rsidRPr="004661AC" w:rsidRDefault="004661AC" w:rsidP="004661AC">
      <w:r w:rsidRPr="004661AC">
        <w:t xml:space="preserve">To summarize, </w:t>
      </w:r>
      <w:r>
        <w:t xml:space="preserve">we think </w:t>
      </w:r>
      <w:r w:rsidRPr="004661AC">
        <w:t>it is unnecessary to extend span-based monitoring capability to the multi-TRP case.</w:t>
      </w:r>
      <w:r>
        <w:t xml:space="preserve"> </w:t>
      </w:r>
    </w:p>
    <w:p w14:paraId="3A039FBF" w14:textId="4955162F" w:rsidR="004661AC" w:rsidRDefault="004661AC" w:rsidP="004661AC">
      <w:r>
        <w:rPr>
          <w:lang w:val="en-US" w:eastAsia="zh-CN"/>
        </w:rPr>
        <w:t xml:space="preserve">But in case some </w:t>
      </w:r>
      <w:r w:rsidRPr="0088430E">
        <w:rPr>
          <w:lang w:val="en-US" w:eastAsia="zh-CN"/>
        </w:rPr>
        <w:t xml:space="preserve">companies want to discuss this topic, it is better to discuss it </w:t>
      </w:r>
      <w:r>
        <w:rPr>
          <w:lang w:val="en-US" w:eastAsia="zh-CN"/>
        </w:rPr>
        <w:t xml:space="preserve">the </w:t>
      </w:r>
      <w:r w:rsidRPr="004661AC">
        <w:t>eMIMO WI</w:t>
      </w:r>
      <w:r>
        <w:t xml:space="preserve">. </w:t>
      </w:r>
    </w:p>
    <w:p w14:paraId="2669AEFD" w14:textId="51D69B24" w:rsidR="00570A2B" w:rsidRPr="00F86DFE" w:rsidRDefault="00570A2B" w:rsidP="00570A2B">
      <w:pPr>
        <w:pStyle w:val="ListParagraph"/>
        <w:numPr>
          <w:ilvl w:val="0"/>
          <w:numId w:val="31"/>
        </w:numPr>
        <w:spacing w:after="120" w:line="240" w:lineRule="auto"/>
        <w:contextualSpacing w:val="0"/>
        <w:jc w:val="both"/>
        <w:rPr>
          <w:rFonts w:ascii="Times New Roman" w:eastAsia="PMingLiU" w:hAnsi="Times New Roman" w:cs="Times New Roman"/>
          <w:b/>
          <w:i/>
          <w:sz w:val="20"/>
          <w:szCs w:val="20"/>
          <w:lang w:val="en-GB"/>
        </w:rPr>
      </w:pPr>
      <w:r w:rsidRPr="00F86DFE">
        <w:rPr>
          <w:rFonts w:ascii="Times New Roman" w:eastAsia="PMingLiU" w:hAnsi="Times New Roman" w:cs="Times New Roman"/>
          <w:b/>
          <w:i/>
          <w:sz w:val="20"/>
          <w:szCs w:val="20"/>
          <w:lang w:val="en-GB"/>
        </w:rPr>
        <w:t>No need for combining of span-based PDCCH monitoring capability and multi-DCI based multi-TRP.</w:t>
      </w:r>
    </w:p>
    <w:p w14:paraId="097C9FEB" w14:textId="7AE9674A" w:rsidR="00D84248" w:rsidRPr="009A5F5F" w:rsidRDefault="00D84248" w:rsidP="00D84248">
      <w:pPr>
        <w:pStyle w:val="Heading1"/>
        <w:jc w:val="both"/>
        <w:rPr>
          <w:lang w:val="en-US" w:eastAsia="zh-TW"/>
        </w:rPr>
      </w:pPr>
      <w:r>
        <w:rPr>
          <w:lang w:val="en-US" w:eastAsia="zh-TW"/>
        </w:rPr>
        <w:t xml:space="preserve"> </w:t>
      </w:r>
      <w:r w:rsidRPr="00D84248">
        <w:rPr>
          <w:lang w:val="en-US" w:eastAsia="zh-TW"/>
        </w:rPr>
        <w:t xml:space="preserve">UE </w:t>
      </w:r>
      <w:r w:rsidR="00C17A27" w:rsidRPr="00D84248">
        <w:rPr>
          <w:lang w:val="en-US" w:eastAsia="zh-TW"/>
        </w:rPr>
        <w:t>behavior</w:t>
      </w:r>
      <w:r w:rsidRPr="00D84248">
        <w:rPr>
          <w:lang w:val="en-US" w:eastAsia="zh-TW"/>
        </w:rPr>
        <w:t xml:space="preserve"> if the obtained span monitoring configuration is invalid</w:t>
      </w:r>
      <w:r w:rsidRPr="00D84248">
        <w:rPr>
          <w:b/>
          <w:bCs/>
          <w:lang w:eastAsia="zh-TW"/>
        </w:rPr>
        <w:t xml:space="preserve"> </w:t>
      </w:r>
      <w:r w:rsidRPr="009A5F5F">
        <w:rPr>
          <w:lang w:val="en-US" w:eastAsia="zh-TW"/>
        </w:rPr>
        <w:t xml:space="preserve">    </w:t>
      </w:r>
    </w:p>
    <w:p w14:paraId="5DA777B7" w14:textId="21BEE309" w:rsidR="00D84248" w:rsidRDefault="00D84248" w:rsidP="006E5EE4">
      <w:r>
        <w:rPr>
          <w:lang w:val="en-US"/>
        </w:rPr>
        <w:t>After the UE has reported one or multiple (X,Y) span combinations, it is then configured by the</w:t>
      </w:r>
      <w:r>
        <w:t xml:space="preserve"> gNB with a PDCCH configuration. </w:t>
      </w:r>
      <w:r w:rsidRPr="00D84248">
        <w:t>If</w:t>
      </w:r>
      <w:r>
        <w:t xml:space="preserve"> this configuration doesn’t comply with any of the reported (X,Y) combinations reported by the UE, then the UE behaviour in this case should be clarified. </w:t>
      </w:r>
    </w:p>
    <w:p w14:paraId="6AF79880" w14:textId="3F43A04A" w:rsidR="00E7655A" w:rsidRPr="00C17A27" w:rsidRDefault="00C17A27" w:rsidP="00C17A27">
      <w:pPr>
        <w:rPr>
          <w:lang w:val="en-US"/>
        </w:rPr>
      </w:pPr>
      <w:r>
        <w:t>One possible option is to d</w:t>
      </w:r>
      <w:r w:rsidR="00611074" w:rsidRPr="00C17A27">
        <w:rPr>
          <w:lang w:val="x-none"/>
        </w:rPr>
        <w:t>rop all the PDCCH monitoring configurations and consider it as an error case. The UE is not expected to be configure</w:t>
      </w:r>
      <w:r>
        <w:rPr>
          <w:lang w:val="x-none"/>
        </w:rPr>
        <w:t xml:space="preserve">d with </w:t>
      </w:r>
      <w:r>
        <w:t xml:space="preserve">a PDCCH </w:t>
      </w:r>
      <w:r>
        <w:rPr>
          <w:lang w:val="x-none"/>
        </w:rPr>
        <w:t>monitoring configuration</w:t>
      </w:r>
      <w:r w:rsidR="00611074" w:rsidRPr="00C17A27">
        <w:rPr>
          <w:lang w:val="x-none"/>
        </w:rPr>
        <w:t xml:space="preserve"> leading to invalid span monitoring configuration. The UE may fall-back</w:t>
      </w:r>
      <w:bookmarkStart w:id="2" w:name="_GoBack"/>
      <w:bookmarkEnd w:id="2"/>
      <w:r w:rsidR="00611074" w:rsidRPr="00C17A27">
        <w:rPr>
          <w:lang w:val="x-none"/>
        </w:rPr>
        <w:t xml:space="preserve"> to the monitoring configuration associated with CORESET 0. </w:t>
      </w:r>
    </w:p>
    <w:p w14:paraId="038843C2" w14:textId="399BC56D" w:rsidR="009A5F5F" w:rsidRPr="00C17A27" w:rsidRDefault="009A5F5F" w:rsidP="006E5EE4">
      <w:pPr>
        <w:rPr>
          <w:lang w:val="en-US"/>
        </w:rPr>
      </w:pPr>
    </w:p>
    <w:p w14:paraId="1E41824E" w14:textId="2F81CAA0" w:rsidR="001F5046" w:rsidRPr="00E90D91" w:rsidRDefault="001F5046" w:rsidP="008D5C0E">
      <w:pPr>
        <w:pStyle w:val="Heading1"/>
        <w:jc w:val="both"/>
        <w:rPr>
          <w:lang w:val="en-US"/>
        </w:rPr>
      </w:pPr>
      <w:r w:rsidRPr="00E90D91">
        <w:rPr>
          <w:lang w:val="en-US" w:eastAsia="zh-TW"/>
        </w:rPr>
        <w:t>Conclusion</w:t>
      </w:r>
    </w:p>
    <w:p w14:paraId="5230B231" w14:textId="5CC4D522" w:rsidR="000129EC" w:rsidRDefault="004002CE" w:rsidP="006748DE">
      <w:pPr>
        <w:spacing w:after="120"/>
        <w:jc w:val="both"/>
        <w:textAlignment w:val="center"/>
      </w:pPr>
      <w:r w:rsidRPr="00C60DA3">
        <w:t>In this contribution,</w:t>
      </w:r>
      <w:r w:rsidR="000129EC">
        <w:t xml:space="preserve"> we have made few proposals for the DCI size alignment issue and </w:t>
      </w:r>
      <w:r w:rsidR="00570A2B">
        <w:t>many remaining PDCCH open issues.</w:t>
      </w:r>
      <w:r w:rsidR="000129EC">
        <w:t xml:space="preserve"> </w:t>
      </w: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3FF007D1" w14:textId="77777777" w:rsidR="001F5046" w:rsidRDefault="001F5046" w:rsidP="001F5046">
      <w:pPr>
        <w:numPr>
          <w:ilvl w:val="0"/>
          <w:numId w:val="1"/>
        </w:numPr>
        <w:spacing w:after="0"/>
        <w:ind w:left="357" w:hanging="357"/>
        <w:jc w:val="both"/>
        <w:rPr>
          <w:lang w:val="en-US" w:eastAsia="zh-TW"/>
        </w:rPr>
      </w:pPr>
      <w:bookmarkStart w:id="3" w:name="_Ref16842286"/>
      <w:bookmarkStart w:id="4" w:name="_Ref16677548"/>
      <w:bookmarkStart w:id="5" w:name="_Ref534894790"/>
      <w:bookmarkStart w:id="6" w:name="_Ref481672677"/>
      <w:r w:rsidRPr="00466346">
        <w:rPr>
          <w:lang w:val="en-US" w:eastAsia="zh-TW"/>
        </w:rPr>
        <w:t>3GPP TS 38.21</w:t>
      </w:r>
      <w:r w:rsidR="00F73D17">
        <w:rPr>
          <w:lang w:val="en-US" w:eastAsia="zh-TW"/>
        </w:rPr>
        <w:t>3</w:t>
      </w:r>
      <w:r w:rsidRPr="00466346">
        <w:rPr>
          <w:lang w:val="en-US" w:eastAsia="zh-TW"/>
        </w:rPr>
        <w:t xml:space="preserve"> V1</w:t>
      </w:r>
      <w:r w:rsidR="00F73D17">
        <w:rPr>
          <w:lang w:val="en-US" w:eastAsia="zh-TW"/>
        </w:rPr>
        <w:t>6</w:t>
      </w:r>
      <w:r w:rsidRPr="00466346">
        <w:rPr>
          <w:lang w:val="en-US" w:eastAsia="zh-TW"/>
        </w:rPr>
        <w:t>.</w:t>
      </w:r>
      <w:r w:rsidR="00F73D17">
        <w:rPr>
          <w:lang w:val="en-US" w:eastAsia="zh-TW"/>
        </w:rPr>
        <w:t>0.0 (2019</w:t>
      </w:r>
      <w:r w:rsidRPr="00466346">
        <w:rPr>
          <w:lang w:val="en-US" w:eastAsia="zh-TW"/>
        </w:rPr>
        <w:t>-12)</w:t>
      </w:r>
      <w:bookmarkEnd w:id="3"/>
    </w:p>
    <w:bookmarkEnd w:id="4"/>
    <w:bookmarkEnd w:id="5"/>
    <w:bookmarkEnd w:id="6"/>
    <w:p w14:paraId="40223174" w14:textId="77777777" w:rsidR="001F5046" w:rsidRDefault="001F5046"/>
    <w:sectPr w:rsidR="001F5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Bold">
    <w:panose1 w:val="020F07020304040302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5A0AD1"/>
    <w:multiLevelType w:val="hybridMultilevel"/>
    <w:tmpl w:val="3628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873E9"/>
    <w:multiLevelType w:val="hybridMultilevel"/>
    <w:tmpl w:val="FE627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22C3F"/>
    <w:multiLevelType w:val="hybridMultilevel"/>
    <w:tmpl w:val="BE3CA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8A928F48">
      <w:start w:val="30"/>
      <w:numFmt w:val="bullet"/>
      <w:lvlText w:val=""/>
      <w:lvlJc w:val="left"/>
      <w:pPr>
        <w:ind w:left="4320" w:hanging="360"/>
      </w:pPr>
      <w:rPr>
        <w:rFonts w:ascii="Wingdings" w:eastAsia="SimSu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E32FBA"/>
    <w:multiLevelType w:val="multilevel"/>
    <w:tmpl w:val="4C7A4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7D308D3"/>
    <w:multiLevelType w:val="hybridMultilevel"/>
    <w:tmpl w:val="CE226C3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55643C"/>
    <w:multiLevelType w:val="hybridMultilevel"/>
    <w:tmpl w:val="335A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643C84"/>
    <w:multiLevelType w:val="hybridMultilevel"/>
    <w:tmpl w:val="C4E87C46"/>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025097A"/>
    <w:multiLevelType w:val="hybridMultilevel"/>
    <w:tmpl w:val="7ACA3E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E0AAA"/>
    <w:multiLevelType w:val="hybridMultilevel"/>
    <w:tmpl w:val="8DF2E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86477C"/>
    <w:multiLevelType w:val="hybridMultilevel"/>
    <w:tmpl w:val="22163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A52D9"/>
    <w:multiLevelType w:val="hybridMultilevel"/>
    <w:tmpl w:val="490EF260"/>
    <w:lvl w:ilvl="0" w:tplc="DE585D82">
      <w:start w:val="1"/>
      <w:numFmt w:val="bullet"/>
      <w:lvlText w:val="•"/>
      <w:lvlJc w:val="left"/>
      <w:pPr>
        <w:tabs>
          <w:tab w:val="num" w:pos="720"/>
        </w:tabs>
        <w:ind w:left="720" w:hanging="360"/>
      </w:pPr>
      <w:rPr>
        <w:rFonts w:ascii="Arial" w:hAnsi="Arial" w:hint="default"/>
      </w:rPr>
    </w:lvl>
    <w:lvl w:ilvl="1" w:tplc="AB78AF3E">
      <w:start w:val="41"/>
      <w:numFmt w:val="bullet"/>
      <w:lvlText w:val="–"/>
      <w:lvlJc w:val="left"/>
      <w:pPr>
        <w:tabs>
          <w:tab w:val="num" w:pos="1440"/>
        </w:tabs>
        <w:ind w:left="1440" w:hanging="360"/>
      </w:pPr>
      <w:rPr>
        <w:rFonts w:ascii="Calibri Light" w:hAnsi="Calibri Light" w:hint="default"/>
      </w:rPr>
    </w:lvl>
    <w:lvl w:ilvl="2" w:tplc="5E74E922" w:tentative="1">
      <w:start w:val="1"/>
      <w:numFmt w:val="bullet"/>
      <w:lvlText w:val="•"/>
      <w:lvlJc w:val="left"/>
      <w:pPr>
        <w:tabs>
          <w:tab w:val="num" w:pos="2160"/>
        </w:tabs>
        <w:ind w:left="2160" w:hanging="360"/>
      </w:pPr>
      <w:rPr>
        <w:rFonts w:ascii="Arial" w:hAnsi="Arial" w:hint="default"/>
      </w:rPr>
    </w:lvl>
    <w:lvl w:ilvl="3" w:tplc="7EAC1A2C" w:tentative="1">
      <w:start w:val="1"/>
      <w:numFmt w:val="bullet"/>
      <w:lvlText w:val="•"/>
      <w:lvlJc w:val="left"/>
      <w:pPr>
        <w:tabs>
          <w:tab w:val="num" w:pos="2880"/>
        </w:tabs>
        <w:ind w:left="2880" w:hanging="360"/>
      </w:pPr>
      <w:rPr>
        <w:rFonts w:ascii="Arial" w:hAnsi="Arial" w:hint="default"/>
      </w:rPr>
    </w:lvl>
    <w:lvl w:ilvl="4" w:tplc="859C2DFE" w:tentative="1">
      <w:start w:val="1"/>
      <w:numFmt w:val="bullet"/>
      <w:lvlText w:val="•"/>
      <w:lvlJc w:val="left"/>
      <w:pPr>
        <w:tabs>
          <w:tab w:val="num" w:pos="3600"/>
        </w:tabs>
        <w:ind w:left="3600" w:hanging="360"/>
      </w:pPr>
      <w:rPr>
        <w:rFonts w:ascii="Arial" w:hAnsi="Arial" w:hint="default"/>
      </w:rPr>
    </w:lvl>
    <w:lvl w:ilvl="5" w:tplc="EE12C5F0" w:tentative="1">
      <w:start w:val="1"/>
      <w:numFmt w:val="bullet"/>
      <w:lvlText w:val="•"/>
      <w:lvlJc w:val="left"/>
      <w:pPr>
        <w:tabs>
          <w:tab w:val="num" w:pos="4320"/>
        </w:tabs>
        <w:ind w:left="4320" w:hanging="360"/>
      </w:pPr>
      <w:rPr>
        <w:rFonts w:ascii="Arial" w:hAnsi="Arial" w:hint="default"/>
      </w:rPr>
    </w:lvl>
    <w:lvl w:ilvl="6" w:tplc="41B8B638" w:tentative="1">
      <w:start w:val="1"/>
      <w:numFmt w:val="bullet"/>
      <w:lvlText w:val="•"/>
      <w:lvlJc w:val="left"/>
      <w:pPr>
        <w:tabs>
          <w:tab w:val="num" w:pos="5040"/>
        </w:tabs>
        <w:ind w:left="5040" w:hanging="360"/>
      </w:pPr>
      <w:rPr>
        <w:rFonts w:ascii="Arial" w:hAnsi="Arial" w:hint="default"/>
      </w:rPr>
    </w:lvl>
    <w:lvl w:ilvl="7" w:tplc="22EAB396" w:tentative="1">
      <w:start w:val="1"/>
      <w:numFmt w:val="bullet"/>
      <w:lvlText w:val="•"/>
      <w:lvlJc w:val="left"/>
      <w:pPr>
        <w:tabs>
          <w:tab w:val="num" w:pos="5760"/>
        </w:tabs>
        <w:ind w:left="5760" w:hanging="360"/>
      </w:pPr>
      <w:rPr>
        <w:rFonts w:ascii="Arial" w:hAnsi="Arial" w:hint="default"/>
      </w:rPr>
    </w:lvl>
    <w:lvl w:ilvl="8" w:tplc="0AAEF6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142D82"/>
    <w:multiLevelType w:val="hybridMultilevel"/>
    <w:tmpl w:val="2B64E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872"/>
    <w:multiLevelType w:val="hybridMultilevel"/>
    <w:tmpl w:val="D04A2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7687B"/>
    <w:multiLevelType w:val="hybridMultilevel"/>
    <w:tmpl w:val="070CB74E"/>
    <w:lvl w:ilvl="0" w:tplc="AEEE84EE">
      <w:start w:val="1"/>
      <w:numFmt w:val="bullet"/>
      <w:lvlText w:val="•"/>
      <w:lvlJc w:val="left"/>
      <w:pPr>
        <w:tabs>
          <w:tab w:val="num" w:pos="720"/>
        </w:tabs>
        <w:ind w:left="720" w:hanging="360"/>
      </w:pPr>
      <w:rPr>
        <w:rFonts w:ascii="Calibri Bold" w:hAnsi="Calibri Bold" w:hint="default"/>
      </w:rPr>
    </w:lvl>
    <w:lvl w:ilvl="1" w:tplc="032CF2C6">
      <w:start w:val="1"/>
      <w:numFmt w:val="bullet"/>
      <w:lvlText w:val="•"/>
      <w:lvlJc w:val="left"/>
      <w:pPr>
        <w:tabs>
          <w:tab w:val="num" w:pos="1440"/>
        </w:tabs>
        <w:ind w:left="1440" w:hanging="360"/>
      </w:pPr>
      <w:rPr>
        <w:rFonts w:ascii="Calibri Bold" w:hAnsi="Calibri Bold" w:hint="default"/>
      </w:rPr>
    </w:lvl>
    <w:lvl w:ilvl="2" w:tplc="36CEEDC8" w:tentative="1">
      <w:start w:val="1"/>
      <w:numFmt w:val="bullet"/>
      <w:lvlText w:val="•"/>
      <w:lvlJc w:val="left"/>
      <w:pPr>
        <w:tabs>
          <w:tab w:val="num" w:pos="2160"/>
        </w:tabs>
        <w:ind w:left="2160" w:hanging="360"/>
      </w:pPr>
      <w:rPr>
        <w:rFonts w:ascii="Calibri Bold" w:hAnsi="Calibri Bold" w:hint="default"/>
      </w:rPr>
    </w:lvl>
    <w:lvl w:ilvl="3" w:tplc="AA0AD430" w:tentative="1">
      <w:start w:val="1"/>
      <w:numFmt w:val="bullet"/>
      <w:lvlText w:val="•"/>
      <w:lvlJc w:val="left"/>
      <w:pPr>
        <w:tabs>
          <w:tab w:val="num" w:pos="2880"/>
        </w:tabs>
        <w:ind w:left="2880" w:hanging="360"/>
      </w:pPr>
      <w:rPr>
        <w:rFonts w:ascii="Calibri Bold" w:hAnsi="Calibri Bold" w:hint="default"/>
      </w:rPr>
    </w:lvl>
    <w:lvl w:ilvl="4" w:tplc="C2CCC642" w:tentative="1">
      <w:start w:val="1"/>
      <w:numFmt w:val="bullet"/>
      <w:lvlText w:val="•"/>
      <w:lvlJc w:val="left"/>
      <w:pPr>
        <w:tabs>
          <w:tab w:val="num" w:pos="3600"/>
        </w:tabs>
        <w:ind w:left="3600" w:hanging="360"/>
      </w:pPr>
      <w:rPr>
        <w:rFonts w:ascii="Calibri Bold" w:hAnsi="Calibri Bold" w:hint="default"/>
      </w:rPr>
    </w:lvl>
    <w:lvl w:ilvl="5" w:tplc="5E6E3016" w:tentative="1">
      <w:start w:val="1"/>
      <w:numFmt w:val="bullet"/>
      <w:lvlText w:val="•"/>
      <w:lvlJc w:val="left"/>
      <w:pPr>
        <w:tabs>
          <w:tab w:val="num" w:pos="4320"/>
        </w:tabs>
        <w:ind w:left="4320" w:hanging="360"/>
      </w:pPr>
      <w:rPr>
        <w:rFonts w:ascii="Calibri Bold" w:hAnsi="Calibri Bold" w:hint="default"/>
      </w:rPr>
    </w:lvl>
    <w:lvl w:ilvl="6" w:tplc="450EA9A0" w:tentative="1">
      <w:start w:val="1"/>
      <w:numFmt w:val="bullet"/>
      <w:lvlText w:val="•"/>
      <w:lvlJc w:val="left"/>
      <w:pPr>
        <w:tabs>
          <w:tab w:val="num" w:pos="5040"/>
        </w:tabs>
        <w:ind w:left="5040" w:hanging="360"/>
      </w:pPr>
      <w:rPr>
        <w:rFonts w:ascii="Calibri Bold" w:hAnsi="Calibri Bold" w:hint="default"/>
      </w:rPr>
    </w:lvl>
    <w:lvl w:ilvl="7" w:tplc="F4761800" w:tentative="1">
      <w:start w:val="1"/>
      <w:numFmt w:val="bullet"/>
      <w:lvlText w:val="•"/>
      <w:lvlJc w:val="left"/>
      <w:pPr>
        <w:tabs>
          <w:tab w:val="num" w:pos="5760"/>
        </w:tabs>
        <w:ind w:left="5760" w:hanging="360"/>
      </w:pPr>
      <w:rPr>
        <w:rFonts w:ascii="Calibri Bold" w:hAnsi="Calibri Bold" w:hint="default"/>
      </w:rPr>
    </w:lvl>
    <w:lvl w:ilvl="8" w:tplc="322C495E"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65BD5737"/>
    <w:multiLevelType w:val="hybridMultilevel"/>
    <w:tmpl w:val="5BAE9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5515B2"/>
    <w:multiLevelType w:val="hybridMultilevel"/>
    <w:tmpl w:val="012C626A"/>
    <w:lvl w:ilvl="0" w:tplc="DDA0EDEE">
      <w:start w:val="1"/>
      <w:numFmt w:val="bullet"/>
      <w:lvlText w:val="▪"/>
      <w:lvlJc w:val="left"/>
      <w:pPr>
        <w:tabs>
          <w:tab w:val="num" w:pos="720"/>
        </w:tabs>
        <w:ind w:left="720" w:hanging="360"/>
      </w:pPr>
      <w:rPr>
        <w:rFonts w:ascii="Calibri Bold" w:hAnsi="Calibri Bold" w:hint="default"/>
      </w:rPr>
    </w:lvl>
    <w:lvl w:ilvl="1" w:tplc="55CAADA0">
      <w:start w:val="26"/>
      <w:numFmt w:val="bullet"/>
      <w:lvlText w:val="•"/>
      <w:lvlJc w:val="left"/>
      <w:pPr>
        <w:tabs>
          <w:tab w:val="num" w:pos="1440"/>
        </w:tabs>
        <w:ind w:left="1440" w:hanging="360"/>
      </w:pPr>
      <w:rPr>
        <w:rFonts w:ascii="Calibri Bold" w:hAnsi="Calibri Bold" w:hint="default"/>
      </w:rPr>
    </w:lvl>
    <w:lvl w:ilvl="2" w:tplc="62746582" w:tentative="1">
      <w:start w:val="1"/>
      <w:numFmt w:val="bullet"/>
      <w:lvlText w:val="▪"/>
      <w:lvlJc w:val="left"/>
      <w:pPr>
        <w:tabs>
          <w:tab w:val="num" w:pos="2160"/>
        </w:tabs>
        <w:ind w:left="2160" w:hanging="360"/>
      </w:pPr>
      <w:rPr>
        <w:rFonts w:ascii="Calibri Bold" w:hAnsi="Calibri Bold" w:hint="default"/>
      </w:rPr>
    </w:lvl>
    <w:lvl w:ilvl="3" w:tplc="9B4083FE" w:tentative="1">
      <w:start w:val="1"/>
      <w:numFmt w:val="bullet"/>
      <w:lvlText w:val="▪"/>
      <w:lvlJc w:val="left"/>
      <w:pPr>
        <w:tabs>
          <w:tab w:val="num" w:pos="2880"/>
        </w:tabs>
        <w:ind w:left="2880" w:hanging="360"/>
      </w:pPr>
      <w:rPr>
        <w:rFonts w:ascii="Calibri Bold" w:hAnsi="Calibri Bold" w:hint="default"/>
      </w:rPr>
    </w:lvl>
    <w:lvl w:ilvl="4" w:tplc="417239AA" w:tentative="1">
      <w:start w:val="1"/>
      <w:numFmt w:val="bullet"/>
      <w:lvlText w:val="▪"/>
      <w:lvlJc w:val="left"/>
      <w:pPr>
        <w:tabs>
          <w:tab w:val="num" w:pos="3600"/>
        </w:tabs>
        <w:ind w:left="3600" w:hanging="360"/>
      </w:pPr>
      <w:rPr>
        <w:rFonts w:ascii="Calibri Bold" w:hAnsi="Calibri Bold" w:hint="default"/>
      </w:rPr>
    </w:lvl>
    <w:lvl w:ilvl="5" w:tplc="A9021AF4" w:tentative="1">
      <w:start w:val="1"/>
      <w:numFmt w:val="bullet"/>
      <w:lvlText w:val="▪"/>
      <w:lvlJc w:val="left"/>
      <w:pPr>
        <w:tabs>
          <w:tab w:val="num" w:pos="4320"/>
        </w:tabs>
        <w:ind w:left="4320" w:hanging="360"/>
      </w:pPr>
      <w:rPr>
        <w:rFonts w:ascii="Calibri Bold" w:hAnsi="Calibri Bold" w:hint="default"/>
      </w:rPr>
    </w:lvl>
    <w:lvl w:ilvl="6" w:tplc="70CA6050" w:tentative="1">
      <w:start w:val="1"/>
      <w:numFmt w:val="bullet"/>
      <w:lvlText w:val="▪"/>
      <w:lvlJc w:val="left"/>
      <w:pPr>
        <w:tabs>
          <w:tab w:val="num" w:pos="5040"/>
        </w:tabs>
        <w:ind w:left="5040" w:hanging="360"/>
      </w:pPr>
      <w:rPr>
        <w:rFonts w:ascii="Calibri Bold" w:hAnsi="Calibri Bold" w:hint="default"/>
      </w:rPr>
    </w:lvl>
    <w:lvl w:ilvl="7" w:tplc="60922C2A" w:tentative="1">
      <w:start w:val="1"/>
      <w:numFmt w:val="bullet"/>
      <w:lvlText w:val="▪"/>
      <w:lvlJc w:val="left"/>
      <w:pPr>
        <w:tabs>
          <w:tab w:val="num" w:pos="5760"/>
        </w:tabs>
        <w:ind w:left="5760" w:hanging="360"/>
      </w:pPr>
      <w:rPr>
        <w:rFonts w:ascii="Calibri Bold" w:hAnsi="Calibri Bold" w:hint="default"/>
      </w:rPr>
    </w:lvl>
    <w:lvl w:ilvl="8" w:tplc="C120926C"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6E434204"/>
    <w:multiLevelType w:val="hybridMultilevel"/>
    <w:tmpl w:val="8C02D4EC"/>
    <w:lvl w:ilvl="0" w:tplc="DA741E2C">
      <w:start w:val="1"/>
      <w:numFmt w:val="bullet"/>
      <w:lvlText w:val="▪"/>
      <w:lvlJc w:val="left"/>
      <w:pPr>
        <w:tabs>
          <w:tab w:val="num" w:pos="720"/>
        </w:tabs>
        <w:ind w:left="720" w:hanging="360"/>
      </w:pPr>
      <w:rPr>
        <w:rFonts w:ascii="Calibri Bold" w:hAnsi="Calibri Bold" w:hint="default"/>
      </w:rPr>
    </w:lvl>
    <w:lvl w:ilvl="1" w:tplc="D3BEC222" w:tentative="1">
      <w:start w:val="1"/>
      <w:numFmt w:val="bullet"/>
      <w:lvlText w:val="▪"/>
      <w:lvlJc w:val="left"/>
      <w:pPr>
        <w:tabs>
          <w:tab w:val="num" w:pos="1440"/>
        </w:tabs>
        <w:ind w:left="1440" w:hanging="360"/>
      </w:pPr>
      <w:rPr>
        <w:rFonts w:ascii="Calibri Bold" w:hAnsi="Calibri Bold" w:hint="default"/>
      </w:rPr>
    </w:lvl>
    <w:lvl w:ilvl="2" w:tplc="37B21EFC" w:tentative="1">
      <w:start w:val="1"/>
      <w:numFmt w:val="bullet"/>
      <w:lvlText w:val="▪"/>
      <w:lvlJc w:val="left"/>
      <w:pPr>
        <w:tabs>
          <w:tab w:val="num" w:pos="2160"/>
        </w:tabs>
        <w:ind w:left="2160" w:hanging="360"/>
      </w:pPr>
      <w:rPr>
        <w:rFonts w:ascii="Calibri Bold" w:hAnsi="Calibri Bold" w:hint="default"/>
      </w:rPr>
    </w:lvl>
    <w:lvl w:ilvl="3" w:tplc="020CEAE0" w:tentative="1">
      <w:start w:val="1"/>
      <w:numFmt w:val="bullet"/>
      <w:lvlText w:val="▪"/>
      <w:lvlJc w:val="left"/>
      <w:pPr>
        <w:tabs>
          <w:tab w:val="num" w:pos="2880"/>
        </w:tabs>
        <w:ind w:left="2880" w:hanging="360"/>
      </w:pPr>
      <w:rPr>
        <w:rFonts w:ascii="Calibri Bold" w:hAnsi="Calibri Bold" w:hint="default"/>
      </w:rPr>
    </w:lvl>
    <w:lvl w:ilvl="4" w:tplc="3D6A8DAC" w:tentative="1">
      <w:start w:val="1"/>
      <w:numFmt w:val="bullet"/>
      <w:lvlText w:val="▪"/>
      <w:lvlJc w:val="left"/>
      <w:pPr>
        <w:tabs>
          <w:tab w:val="num" w:pos="3600"/>
        </w:tabs>
        <w:ind w:left="3600" w:hanging="360"/>
      </w:pPr>
      <w:rPr>
        <w:rFonts w:ascii="Calibri Bold" w:hAnsi="Calibri Bold" w:hint="default"/>
      </w:rPr>
    </w:lvl>
    <w:lvl w:ilvl="5" w:tplc="A306BBA6" w:tentative="1">
      <w:start w:val="1"/>
      <w:numFmt w:val="bullet"/>
      <w:lvlText w:val="▪"/>
      <w:lvlJc w:val="left"/>
      <w:pPr>
        <w:tabs>
          <w:tab w:val="num" w:pos="4320"/>
        </w:tabs>
        <w:ind w:left="4320" w:hanging="360"/>
      </w:pPr>
      <w:rPr>
        <w:rFonts w:ascii="Calibri Bold" w:hAnsi="Calibri Bold" w:hint="default"/>
      </w:rPr>
    </w:lvl>
    <w:lvl w:ilvl="6" w:tplc="83CCCE4E" w:tentative="1">
      <w:start w:val="1"/>
      <w:numFmt w:val="bullet"/>
      <w:lvlText w:val="▪"/>
      <w:lvlJc w:val="left"/>
      <w:pPr>
        <w:tabs>
          <w:tab w:val="num" w:pos="5040"/>
        </w:tabs>
        <w:ind w:left="5040" w:hanging="360"/>
      </w:pPr>
      <w:rPr>
        <w:rFonts w:ascii="Calibri Bold" w:hAnsi="Calibri Bold" w:hint="default"/>
      </w:rPr>
    </w:lvl>
    <w:lvl w:ilvl="7" w:tplc="FC9A4A58" w:tentative="1">
      <w:start w:val="1"/>
      <w:numFmt w:val="bullet"/>
      <w:lvlText w:val="▪"/>
      <w:lvlJc w:val="left"/>
      <w:pPr>
        <w:tabs>
          <w:tab w:val="num" w:pos="5760"/>
        </w:tabs>
        <w:ind w:left="5760" w:hanging="360"/>
      </w:pPr>
      <w:rPr>
        <w:rFonts w:ascii="Calibri Bold" w:hAnsi="Calibri Bold" w:hint="default"/>
      </w:rPr>
    </w:lvl>
    <w:lvl w:ilvl="8" w:tplc="967A6A5A" w:tentative="1">
      <w:start w:val="1"/>
      <w:numFmt w:val="bullet"/>
      <w:lvlText w:val="▪"/>
      <w:lvlJc w:val="left"/>
      <w:pPr>
        <w:tabs>
          <w:tab w:val="num" w:pos="6480"/>
        </w:tabs>
        <w:ind w:left="6480" w:hanging="360"/>
      </w:pPr>
      <w:rPr>
        <w:rFonts w:ascii="Calibri Bold" w:hAnsi="Calibri Bold" w:hint="default"/>
      </w:rPr>
    </w:lvl>
  </w:abstractNum>
  <w:abstractNum w:abstractNumId="23"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D18B5"/>
    <w:multiLevelType w:val="hybridMultilevel"/>
    <w:tmpl w:val="66702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020104"/>
    <w:multiLevelType w:val="hybridMultilevel"/>
    <w:tmpl w:val="3C8408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E3604B"/>
    <w:multiLevelType w:val="hybridMultilevel"/>
    <w:tmpl w:val="4A529218"/>
    <w:lvl w:ilvl="0" w:tplc="AE7441D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4"/>
  </w:num>
  <w:num w:numId="2">
    <w:abstractNumId w:val="7"/>
  </w:num>
  <w:num w:numId="3">
    <w:abstractNumId w:val="1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9"/>
  </w:num>
  <w:num w:numId="7">
    <w:abstractNumId w:val="18"/>
  </w:num>
  <w:num w:numId="8">
    <w:abstractNumId w:val="24"/>
  </w:num>
  <w:num w:numId="9">
    <w:abstractNumId w:val="13"/>
  </w:num>
  <w:num w:numId="10">
    <w:abstractNumId w:val="5"/>
  </w:num>
  <w:num w:numId="11">
    <w:abstractNumId w:val="26"/>
  </w:num>
  <w:num w:numId="12">
    <w:abstractNumId w:val="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1"/>
  </w:num>
  <w:num w:numId="19">
    <w:abstractNumId w:val="2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
  </w:num>
  <w:num w:numId="23">
    <w:abstractNumId w:val="6"/>
  </w:num>
  <w:num w:numId="24">
    <w:abstractNumId w:val="15"/>
  </w:num>
  <w:num w:numId="25">
    <w:abstractNumId w:val="23"/>
  </w:num>
  <w:num w:numId="26">
    <w:abstractNumId w:val="21"/>
  </w:num>
  <w:num w:numId="27">
    <w:abstractNumId w:val="22"/>
  </w:num>
  <w:num w:numId="28">
    <w:abstractNumId w:val="3"/>
  </w:num>
  <w:num w:numId="29">
    <w:abstractNumId w:val="14"/>
  </w:num>
  <w:num w:numId="30">
    <w:abstractNumId w:val="8"/>
  </w:num>
  <w:num w:numId="31">
    <w:abstractNumId w:val="10"/>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25A86"/>
    <w:rsid w:val="00073FD0"/>
    <w:rsid w:val="00076367"/>
    <w:rsid w:val="000811FD"/>
    <w:rsid w:val="000A1688"/>
    <w:rsid w:val="000A2C19"/>
    <w:rsid w:val="000B0092"/>
    <w:rsid w:val="000B7F2B"/>
    <w:rsid w:val="000C3BA5"/>
    <w:rsid w:val="000D321F"/>
    <w:rsid w:val="000F03C0"/>
    <w:rsid w:val="000F35EB"/>
    <w:rsid w:val="001014B4"/>
    <w:rsid w:val="00103BFC"/>
    <w:rsid w:val="0013760E"/>
    <w:rsid w:val="001575FD"/>
    <w:rsid w:val="00180B84"/>
    <w:rsid w:val="00186FA2"/>
    <w:rsid w:val="001A2016"/>
    <w:rsid w:val="001A2CE7"/>
    <w:rsid w:val="001B5BE6"/>
    <w:rsid w:val="001D0CB6"/>
    <w:rsid w:val="001E5101"/>
    <w:rsid w:val="001F5046"/>
    <w:rsid w:val="0020069F"/>
    <w:rsid w:val="00214CFB"/>
    <w:rsid w:val="002208C5"/>
    <w:rsid w:val="00256914"/>
    <w:rsid w:val="0028327C"/>
    <w:rsid w:val="002C0262"/>
    <w:rsid w:val="002C5F00"/>
    <w:rsid w:val="002D130F"/>
    <w:rsid w:val="002E45B3"/>
    <w:rsid w:val="002F3B5E"/>
    <w:rsid w:val="002F63E3"/>
    <w:rsid w:val="00307FAE"/>
    <w:rsid w:val="00314268"/>
    <w:rsid w:val="003142EE"/>
    <w:rsid w:val="00320D07"/>
    <w:rsid w:val="00341609"/>
    <w:rsid w:val="00356141"/>
    <w:rsid w:val="003563DE"/>
    <w:rsid w:val="00365F2D"/>
    <w:rsid w:val="003754D1"/>
    <w:rsid w:val="003761B4"/>
    <w:rsid w:val="00380A89"/>
    <w:rsid w:val="003C5F52"/>
    <w:rsid w:val="003F15CD"/>
    <w:rsid w:val="004002CE"/>
    <w:rsid w:val="004222DE"/>
    <w:rsid w:val="00426259"/>
    <w:rsid w:val="004332AA"/>
    <w:rsid w:val="0046618E"/>
    <w:rsid w:val="004661AC"/>
    <w:rsid w:val="004C0BA8"/>
    <w:rsid w:val="004D52BA"/>
    <w:rsid w:val="00525296"/>
    <w:rsid w:val="00554D21"/>
    <w:rsid w:val="00557E5A"/>
    <w:rsid w:val="00563788"/>
    <w:rsid w:val="00570A2B"/>
    <w:rsid w:val="00570DE1"/>
    <w:rsid w:val="005778ED"/>
    <w:rsid w:val="00592BAF"/>
    <w:rsid w:val="00594FD2"/>
    <w:rsid w:val="005A5EA5"/>
    <w:rsid w:val="005B50D8"/>
    <w:rsid w:val="005D32EF"/>
    <w:rsid w:val="005F0C98"/>
    <w:rsid w:val="00602304"/>
    <w:rsid w:val="00607368"/>
    <w:rsid w:val="00611074"/>
    <w:rsid w:val="00615895"/>
    <w:rsid w:val="006173B2"/>
    <w:rsid w:val="006178AE"/>
    <w:rsid w:val="006307C3"/>
    <w:rsid w:val="006748DE"/>
    <w:rsid w:val="00684BE0"/>
    <w:rsid w:val="00687C1E"/>
    <w:rsid w:val="0069150D"/>
    <w:rsid w:val="006A341F"/>
    <w:rsid w:val="006B15C5"/>
    <w:rsid w:val="006E5EE4"/>
    <w:rsid w:val="006F603F"/>
    <w:rsid w:val="00707FEF"/>
    <w:rsid w:val="007350F6"/>
    <w:rsid w:val="00745D4A"/>
    <w:rsid w:val="00746B1E"/>
    <w:rsid w:val="00775F57"/>
    <w:rsid w:val="007769D5"/>
    <w:rsid w:val="007803FB"/>
    <w:rsid w:val="00794729"/>
    <w:rsid w:val="007A3335"/>
    <w:rsid w:val="007B77CE"/>
    <w:rsid w:val="007D20AF"/>
    <w:rsid w:val="007F76CD"/>
    <w:rsid w:val="00800D80"/>
    <w:rsid w:val="00805F91"/>
    <w:rsid w:val="00814164"/>
    <w:rsid w:val="008149EA"/>
    <w:rsid w:val="00820040"/>
    <w:rsid w:val="00827333"/>
    <w:rsid w:val="0084239A"/>
    <w:rsid w:val="00842E71"/>
    <w:rsid w:val="0084345D"/>
    <w:rsid w:val="00853FFB"/>
    <w:rsid w:val="008551E9"/>
    <w:rsid w:val="00870870"/>
    <w:rsid w:val="0088430E"/>
    <w:rsid w:val="008A0B5D"/>
    <w:rsid w:val="008D020C"/>
    <w:rsid w:val="008D1B09"/>
    <w:rsid w:val="008D56C5"/>
    <w:rsid w:val="008E0D26"/>
    <w:rsid w:val="008E2DD1"/>
    <w:rsid w:val="008E4232"/>
    <w:rsid w:val="008E432B"/>
    <w:rsid w:val="008E4BBA"/>
    <w:rsid w:val="008E510E"/>
    <w:rsid w:val="008F3159"/>
    <w:rsid w:val="00904D95"/>
    <w:rsid w:val="009169FA"/>
    <w:rsid w:val="00924504"/>
    <w:rsid w:val="00943AAA"/>
    <w:rsid w:val="00952893"/>
    <w:rsid w:val="009612D4"/>
    <w:rsid w:val="0097031E"/>
    <w:rsid w:val="009A0AD7"/>
    <w:rsid w:val="009A5F5F"/>
    <w:rsid w:val="009E10D9"/>
    <w:rsid w:val="009F2CE4"/>
    <w:rsid w:val="009F6162"/>
    <w:rsid w:val="00A1413F"/>
    <w:rsid w:val="00A304A0"/>
    <w:rsid w:val="00A42B40"/>
    <w:rsid w:val="00A52E7E"/>
    <w:rsid w:val="00A60886"/>
    <w:rsid w:val="00A60DE7"/>
    <w:rsid w:val="00A71E15"/>
    <w:rsid w:val="00A73E1C"/>
    <w:rsid w:val="00A847F2"/>
    <w:rsid w:val="00AC21B5"/>
    <w:rsid w:val="00AC3411"/>
    <w:rsid w:val="00AC3DD8"/>
    <w:rsid w:val="00AD7922"/>
    <w:rsid w:val="00B16228"/>
    <w:rsid w:val="00B21987"/>
    <w:rsid w:val="00B22821"/>
    <w:rsid w:val="00B23803"/>
    <w:rsid w:val="00B30C38"/>
    <w:rsid w:val="00B36747"/>
    <w:rsid w:val="00B54455"/>
    <w:rsid w:val="00B649D5"/>
    <w:rsid w:val="00B65E81"/>
    <w:rsid w:val="00B85C66"/>
    <w:rsid w:val="00B90C36"/>
    <w:rsid w:val="00B9313A"/>
    <w:rsid w:val="00BA3545"/>
    <w:rsid w:val="00BA64BF"/>
    <w:rsid w:val="00BB090C"/>
    <w:rsid w:val="00BB6DF9"/>
    <w:rsid w:val="00C07A9F"/>
    <w:rsid w:val="00C1032B"/>
    <w:rsid w:val="00C12F29"/>
    <w:rsid w:val="00C17A27"/>
    <w:rsid w:val="00C230EA"/>
    <w:rsid w:val="00C31F92"/>
    <w:rsid w:val="00C514D0"/>
    <w:rsid w:val="00C52728"/>
    <w:rsid w:val="00C60DA3"/>
    <w:rsid w:val="00CA3B5F"/>
    <w:rsid w:val="00D000DE"/>
    <w:rsid w:val="00D24ADF"/>
    <w:rsid w:val="00D435AD"/>
    <w:rsid w:val="00D57C34"/>
    <w:rsid w:val="00D84248"/>
    <w:rsid w:val="00DA521E"/>
    <w:rsid w:val="00DB12D6"/>
    <w:rsid w:val="00DC2CF2"/>
    <w:rsid w:val="00DD4BC6"/>
    <w:rsid w:val="00DE640B"/>
    <w:rsid w:val="00DF250F"/>
    <w:rsid w:val="00E00AC2"/>
    <w:rsid w:val="00E05EC6"/>
    <w:rsid w:val="00E237C3"/>
    <w:rsid w:val="00E3040E"/>
    <w:rsid w:val="00E32F06"/>
    <w:rsid w:val="00E357CF"/>
    <w:rsid w:val="00E50319"/>
    <w:rsid w:val="00E52145"/>
    <w:rsid w:val="00E56970"/>
    <w:rsid w:val="00E67293"/>
    <w:rsid w:val="00E7193F"/>
    <w:rsid w:val="00E7655A"/>
    <w:rsid w:val="00E850B1"/>
    <w:rsid w:val="00E90D91"/>
    <w:rsid w:val="00EB0CD0"/>
    <w:rsid w:val="00ED6E27"/>
    <w:rsid w:val="00EE16DC"/>
    <w:rsid w:val="00EE4B26"/>
    <w:rsid w:val="00F2595B"/>
    <w:rsid w:val="00F4705B"/>
    <w:rsid w:val="00F51F41"/>
    <w:rsid w:val="00F51F79"/>
    <w:rsid w:val="00F57172"/>
    <w:rsid w:val="00F73D17"/>
    <w:rsid w:val="00F86DFE"/>
    <w:rsid w:val="00FA0032"/>
    <w:rsid w:val="00FC0202"/>
    <w:rsid w:val="00FC2C80"/>
    <w:rsid w:val="00FC6888"/>
    <w:rsid w:val="00FE4D8E"/>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1A47B-BE3B-4AE6-B505-823C5DDD3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6</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PDCCH Span Monitoring CCEs and BDs Budgets</vt:lpstr>
    </vt:vector>
  </TitlesOfParts>
  <Company>Mediatek</Company>
  <LinksUpToDate>false</LinksUpToDate>
  <CharactersWithSpaces>13268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PDCCH Span Monitoring CCEs and BDs Budgets</dc:title>
  <dc:subject/>
  <dc:creator>Abdellatif Salah</dc:creator>
  <cp:keywords>NR, Layer 1;PDCCH Monitoring</cp:keywords>
  <dc:description/>
  <cp:lastModifiedBy>Abdellatif Salah</cp:lastModifiedBy>
  <cp:revision>30</cp:revision>
  <dcterms:created xsi:type="dcterms:W3CDTF">2020-05-13T16:11:00Z</dcterms:created>
  <dcterms:modified xsi:type="dcterms:W3CDTF">2020-05-15T12:09:00Z</dcterms:modified>
</cp:coreProperties>
</file>